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756F1">
      <w:pPr>
        <w:pageBreakBefore w:val="0"/>
        <w:widowControl w:val="0"/>
        <w:kinsoku/>
        <w:wordWrap/>
        <w:overflowPunct/>
        <w:topLinePunct w:val="0"/>
        <w:autoSpaceDE/>
        <w:autoSpaceDN/>
        <w:bidi w:val="0"/>
        <w:adjustRightInd/>
        <w:spacing w:beforeLines="100" w:afterLines="100" w:line="240" w:lineRule="auto"/>
        <w:jc w:val="center"/>
        <w:textAlignment w:val="auto"/>
        <w:rPr>
          <w:rFonts w:hint="eastAsia" w:ascii="黑体" w:hAnsi="黑体" w:eastAsia="黑体" w:cs="黑体"/>
          <w:kern w:val="0"/>
          <w:sz w:val="56"/>
          <w:szCs w:val="56"/>
          <w:highlight w:val="none"/>
        </w:rPr>
      </w:pPr>
      <w:r>
        <w:rPr>
          <w:rFonts w:hint="eastAsia" w:ascii="黑体" w:hAnsi="黑体" w:eastAsia="黑体" w:cs="黑体"/>
          <w:kern w:val="0"/>
          <w:sz w:val="56"/>
          <w:szCs w:val="56"/>
          <w:highlight w:val="none"/>
        </w:rPr>
        <w:t>国家商用飞机制造工程</w:t>
      </w:r>
    </w:p>
    <w:p w14:paraId="748EF27F">
      <w:pPr>
        <w:pageBreakBefore w:val="0"/>
        <w:widowControl w:val="0"/>
        <w:kinsoku/>
        <w:wordWrap/>
        <w:overflowPunct/>
        <w:topLinePunct w:val="0"/>
        <w:autoSpaceDE/>
        <w:autoSpaceDN/>
        <w:bidi w:val="0"/>
        <w:adjustRightInd/>
        <w:spacing w:beforeLines="100" w:afterLines="100" w:line="240" w:lineRule="auto"/>
        <w:jc w:val="center"/>
        <w:textAlignment w:val="auto"/>
        <w:rPr>
          <w:rFonts w:hint="eastAsia" w:ascii="黑体" w:hAnsi="黑体" w:eastAsia="黑体" w:cs="黑体"/>
          <w:kern w:val="0"/>
          <w:sz w:val="56"/>
          <w:szCs w:val="56"/>
          <w:highlight w:val="none"/>
        </w:rPr>
      </w:pPr>
      <w:r>
        <w:rPr>
          <w:rFonts w:hint="eastAsia" w:ascii="黑体" w:hAnsi="黑体" w:eastAsia="黑体" w:cs="黑体"/>
          <w:kern w:val="0"/>
          <w:sz w:val="56"/>
          <w:szCs w:val="56"/>
          <w:highlight w:val="none"/>
        </w:rPr>
        <w:t>技术研究中心创新基金指南</w:t>
      </w:r>
    </w:p>
    <w:p w14:paraId="5FD39FFC">
      <w:pPr>
        <w:pageBreakBefore w:val="0"/>
        <w:widowControl w:val="0"/>
        <w:kinsoku/>
        <w:wordWrap/>
        <w:overflowPunct/>
        <w:topLinePunct w:val="0"/>
        <w:autoSpaceDE/>
        <w:autoSpaceDN/>
        <w:bidi w:val="0"/>
        <w:adjustRightInd/>
        <w:spacing w:line="240" w:lineRule="auto"/>
        <w:textAlignment w:val="auto"/>
        <w:rPr>
          <w:sz w:val="28"/>
          <w:szCs w:val="28"/>
          <w:highlight w:val="none"/>
        </w:rPr>
      </w:pPr>
    </w:p>
    <w:p w14:paraId="2BE4AC70">
      <w:pPr>
        <w:pageBreakBefore w:val="0"/>
        <w:widowControl w:val="0"/>
        <w:kinsoku/>
        <w:wordWrap/>
        <w:overflowPunct/>
        <w:topLinePunct w:val="0"/>
        <w:autoSpaceDE/>
        <w:autoSpaceDN/>
        <w:bidi w:val="0"/>
        <w:adjustRightInd/>
        <w:spacing w:line="240" w:lineRule="auto"/>
        <w:textAlignment w:val="auto"/>
        <w:rPr>
          <w:sz w:val="28"/>
          <w:szCs w:val="28"/>
          <w:highlight w:val="none"/>
        </w:rPr>
      </w:pPr>
    </w:p>
    <w:p w14:paraId="6CB57C44">
      <w:pPr>
        <w:pageBreakBefore w:val="0"/>
        <w:widowControl w:val="0"/>
        <w:kinsoku/>
        <w:wordWrap/>
        <w:overflowPunct/>
        <w:topLinePunct w:val="0"/>
        <w:autoSpaceDE/>
        <w:autoSpaceDN/>
        <w:bidi w:val="0"/>
        <w:adjustRightInd/>
        <w:spacing w:line="240" w:lineRule="auto"/>
        <w:textAlignment w:val="auto"/>
        <w:rPr>
          <w:sz w:val="28"/>
          <w:szCs w:val="28"/>
          <w:highlight w:val="none"/>
        </w:rPr>
      </w:pPr>
    </w:p>
    <w:p w14:paraId="7709EC85">
      <w:pPr>
        <w:pageBreakBefore w:val="0"/>
        <w:widowControl w:val="0"/>
        <w:kinsoku/>
        <w:wordWrap/>
        <w:overflowPunct/>
        <w:topLinePunct w:val="0"/>
        <w:autoSpaceDE/>
        <w:autoSpaceDN/>
        <w:bidi w:val="0"/>
        <w:adjustRightInd/>
        <w:spacing w:line="240" w:lineRule="auto"/>
        <w:textAlignment w:val="auto"/>
        <w:rPr>
          <w:sz w:val="28"/>
          <w:szCs w:val="28"/>
          <w:highlight w:val="none"/>
        </w:rPr>
      </w:pPr>
    </w:p>
    <w:p w14:paraId="14B04581">
      <w:pPr>
        <w:pageBreakBefore w:val="0"/>
        <w:widowControl w:val="0"/>
        <w:kinsoku/>
        <w:wordWrap/>
        <w:overflowPunct/>
        <w:topLinePunct w:val="0"/>
        <w:autoSpaceDE/>
        <w:autoSpaceDN/>
        <w:bidi w:val="0"/>
        <w:adjustRightInd/>
        <w:spacing w:line="240" w:lineRule="auto"/>
        <w:textAlignment w:val="auto"/>
        <w:rPr>
          <w:sz w:val="28"/>
          <w:szCs w:val="28"/>
          <w:highlight w:val="none"/>
        </w:rPr>
      </w:pPr>
    </w:p>
    <w:p w14:paraId="409682B8">
      <w:pPr>
        <w:pageBreakBefore w:val="0"/>
        <w:widowControl w:val="0"/>
        <w:kinsoku/>
        <w:wordWrap/>
        <w:overflowPunct/>
        <w:topLinePunct w:val="0"/>
        <w:autoSpaceDE/>
        <w:autoSpaceDN/>
        <w:bidi w:val="0"/>
        <w:adjustRightInd/>
        <w:spacing w:line="240" w:lineRule="auto"/>
        <w:jc w:val="center"/>
        <w:textAlignment w:val="auto"/>
        <w:rPr>
          <w:rFonts w:ascii="黑体" w:hAnsi="黑体" w:eastAsia="黑体"/>
          <w:sz w:val="28"/>
          <w:szCs w:val="28"/>
          <w:highlight w:val="none"/>
        </w:rPr>
      </w:pPr>
    </w:p>
    <w:p w14:paraId="2B6C9226">
      <w:pPr>
        <w:pageBreakBefore w:val="0"/>
        <w:widowControl w:val="0"/>
        <w:kinsoku/>
        <w:wordWrap/>
        <w:overflowPunct/>
        <w:topLinePunct w:val="0"/>
        <w:autoSpaceDE/>
        <w:autoSpaceDN/>
        <w:bidi w:val="0"/>
        <w:adjustRightInd/>
        <w:spacing w:line="240" w:lineRule="auto"/>
        <w:jc w:val="center"/>
        <w:textAlignment w:val="auto"/>
        <w:rPr>
          <w:rFonts w:ascii="黑体" w:hAnsi="黑体" w:eastAsia="黑体"/>
          <w:sz w:val="28"/>
          <w:szCs w:val="28"/>
          <w:highlight w:val="none"/>
        </w:rPr>
      </w:pPr>
    </w:p>
    <w:p w14:paraId="07307F6B">
      <w:pPr>
        <w:pageBreakBefore w:val="0"/>
        <w:widowControl w:val="0"/>
        <w:kinsoku/>
        <w:wordWrap/>
        <w:overflowPunct/>
        <w:topLinePunct w:val="0"/>
        <w:autoSpaceDE/>
        <w:autoSpaceDN/>
        <w:bidi w:val="0"/>
        <w:adjustRightInd/>
        <w:spacing w:line="240" w:lineRule="auto"/>
        <w:jc w:val="both"/>
        <w:textAlignment w:val="auto"/>
        <w:rPr>
          <w:rFonts w:ascii="黑体" w:hAnsi="黑体" w:eastAsia="黑体"/>
          <w:sz w:val="28"/>
          <w:szCs w:val="28"/>
          <w:highlight w:val="none"/>
        </w:rPr>
      </w:pPr>
    </w:p>
    <w:p w14:paraId="6CFEC28A">
      <w:pPr>
        <w:pageBreakBefore w:val="0"/>
        <w:widowControl w:val="0"/>
        <w:kinsoku/>
        <w:wordWrap/>
        <w:overflowPunct/>
        <w:topLinePunct w:val="0"/>
        <w:autoSpaceDE/>
        <w:autoSpaceDN/>
        <w:bidi w:val="0"/>
        <w:adjustRightInd/>
        <w:spacing w:line="240" w:lineRule="auto"/>
        <w:jc w:val="center"/>
        <w:textAlignment w:val="auto"/>
        <w:rPr>
          <w:rFonts w:ascii="黑体" w:hAnsi="黑体" w:eastAsia="黑体"/>
          <w:sz w:val="28"/>
          <w:szCs w:val="28"/>
          <w:highlight w:val="none"/>
        </w:rPr>
      </w:pPr>
    </w:p>
    <w:p w14:paraId="137598C0">
      <w:pPr>
        <w:pageBreakBefore w:val="0"/>
        <w:widowControl w:val="0"/>
        <w:kinsoku/>
        <w:wordWrap/>
        <w:overflowPunct/>
        <w:topLinePunct w:val="0"/>
        <w:autoSpaceDE/>
        <w:autoSpaceDN/>
        <w:bidi w:val="0"/>
        <w:adjustRightInd/>
        <w:spacing w:beforeLines="100" w:afterLines="100" w:line="240" w:lineRule="auto"/>
        <w:jc w:val="center"/>
        <w:textAlignment w:val="auto"/>
        <w:rPr>
          <w:rFonts w:hint="eastAsia" w:ascii="Times New Roman" w:hAnsi="Times New Roman" w:eastAsia="黑体" w:cs="Times New Roman"/>
          <w:kern w:val="0"/>
          <w:sz w:val="30"/>
          <w:szCs w:val="30"/>
          <w:highlight w:val="none"/>
        </w:rPr>
      </w:pPr>
      <w:r>
        <w:rPr>
          <w:rFonts w:hint="eastAsia" w:ascii="Times New Roman" w:hAnsi="Times New Roman" w:eastAsia="黑体" w:cs="Times New Roman"/>
          <w:kern w:val="0"/>
          <w:sz w:val="30"/>
          <w:szCs w:val="30"/>
          <w:highlight w:val="none"/>
        </w:rPr>
        <w:t>上海飞机制造有限公司</w:t>
      </w:r>
    </w:p>
    <w:p w14:paraId="66AC5E91">
      <w:pPr>
        <w:pageBreakBefore w:val="0"/>
        <w:widowControl w:val="0"/>
        <w:kinsoku/>
        <w:wordWrap/>
        <w:overflowPunct/>
        <w:topLinePunct w:val="0"/>
        <w:autoSpaceDE/>
        <w:autoSpaceDN/>
        <w:bidi w:val="0"/>
        <w:adjustRightInd/>
        <w:spacing w:beforeLines="100" w:afterLines="100" w:line="240" w:lineRule="auto"/>
        <w:jc w:val="center"/>
        <w:textAlignment w:val="auto"/>
        <w:rPr>
          <w:rFonts w:hint="eastAsia" w:ascii="Times New Roman" w:hAnsi="Times New Roman" w:eastAsia="黑体" w:cs="Times New Roman"/>
          <w:kern w:val="0"/>
          <w:sz w:val="30"/>
          <w:szCs w:val="30"/>
          <w:highlight w:val="none"/>
        </w:rPr>
      </w:pPr>
      <w:r>
        <w:rPr>
          <w:rFonts w:hint="eastAsia" w:ascii="Times New Roman" w:hAnsi="Times New Roman" w:eastAsia="黑体" w:cs="Times New Roman"/>
          <w:kern w:val="0"/>
          <w:sz w:val="30"/>
          <w:szCs w:val="30"/>
          <w:highlight w:val="none"/>
        </w:rPr>
        <w:t>20</w:t>
      </w:r>
      <w:r>
        <w:rPr>
          <w:rFonts w:hint="eastAsia" w:ascii="Times New Roman" w:hAnsi="Times New Roman" w:eastAsia="黑体" w:cs="Times New Roman"/>
          <w:kern w:val="0"/>
          <w:sz w:val="30"/>
          <w:szCs w:val="30"/>
          <w:highlight w:val="none"/>
          <w:lang w:val="en-US" w:eastAsia="zh-CN"/>
        </w:rPr>
        <w:t>2</w:t>
      </w:r>
      <w:r>
        <w:rPr>
          <w:rFonts w:hint="eastAsia" w:eastAsia="黑体" w:cs="Times New Roman"/>
          <w:kern w:val="0"/>
          <w:sz w:val="30"/>
          <w:szCs w:val="30"/>
          <w:highlight w:val="none"/>
          <w:lang w:val="en-US" w:eastAsia="zh-CN"/>
        </w:rPr>
        <w:t>5</w:t>
      </w:r>
      <w:r>
        <w:rPr>
          <w:rFonts w:hint="eastAsia" w:ascii="Times New Roman" w:hAnsi="Times New Roman" w:eastAsia="黑体" w:cs="Times New Roman"/>
          <w:kern w:val="0"/>
          <w:sz w:val="30"/>
          <w:szCs w:val="30"/>
          <w:highlight w:val="none"/>
        </w:rPr>
        <w:t>年</w:t>
      </w:r>
      <w:r>
        <w:rPr>
          <w:rFonts w:hint="eastAsia" w:eastAsia="黑体" w:cs="Times New Roman"/>
          <w:kern w:val="0"/>
          <w:sz w:val="30"/>
          <w:szCs w:val="30"/>
          <w:highlight w:val="none"/>
          <w:lang w:val="en-US" w:eastAsia="zh-CN"/>
        </w:rPr>
        <w:t>12</w:t>
      </w:r>
      <w:r>
        <w:rPr>
          <w:rFonts w:hint="eastAsia" w:ascii="Times New Roman" w:hAnsi="Times New Roman" w:eastAsia="黑体" w:cs="Times New Roman"/>
          <w:kern w:val="0"/>
          <w:sz w:val="30"/>
          <w:szCs w:val="30"/>
          <w:highlight w:val="none"/>
        </w:rPr>
        <w:t>月</w:t>
      </w:r>
    </w:p>
    <w:p w14:paraId="3F38CA55">
      <w:pPr>
        <w:pStyle w:val="9"/>
        <w:pageBreakBefore w:val="0"/>
        <w:widowControl w:val="0"/>
        <w:tabs>
          <w:tab w:val="right" w:leader="dot" w:pos="8306"/>
        </w:tabs>
        <w:kinsoku/>
        <w:wordWrap/>
        <w:overflowPunct/>
        <w:topLinePunct w:val="0"/>
        <w:autoSpaceDE/>
        <w:autoSpaceDN/>
        <w:bidi w:val="0"/>
        <w:adjustRightInd/>
        <w:spacing w:line="240" w:lineRule="auto"/>
        <w:jc w:val="center"/>
        <w:textAlignment w:val="auto"/>
        <w:rPr>
          <w:rFonts w:hint="eastAsia" w:ascii="宋体" w:hAnsi="宋体" w:cs="宋体"/>
          <w:b/>
          <w:sz w:val="30"/>
          <w:szCs w:val="30"/>
          <w:highlight w:val="none"/>
          <w:lang w:val="en-US" w:eastAsia="zh-CN"/>
        </w:rPr>
        <w:sectPr>
          <w:pgSz w:w="11906" w:h="16838"/>
          <w:pgMar w:top="1440" w:right="1800" w:bottom="1440" w:left="1800" w:header="851" w:footer="992" w:gutter="0"/>
          <w:cols w:space="425" w:num="1"/>
          <w:docGrid w:type="lines" w:linePitch="312" w:charSpace="0"/>
        </w:sectPr>
      </w:pPr>
    </w:p>
    <w:p w14:paraId="2283F4A2">
      <w:pPr>
        <w:pStyle w:val="9"/>
        <w:pageBreakBefore w:val="0"/>
        <w:widowControl w:val="0"/>
        <w:tabs>
          <w:tab w:val="right" w:leader="dot" w:pos="8306"/>
        </w:tabs>
        <w:kinsoku/>
        <w:wordWrap/>
        <w:overflowPunct/>
        <w:topLinePunct w:val="0"/>
        <w:autoSpaceDE/>
        <w:autoSpaceDN/>
        <w:bidi w:val="0"/>
        <w:adjustRightInd/>
        <w:spacing w:line="240" w:lineRule="auto"/>
        <w:jc w:val="center"/>
        <w:textAlignment w:val="auto"/>
        <w:rPr>
          <w:rFonts w:hint="eastAsia" w:ascii="宋体" w:hAnsi="宋体" w:eastAsia="宋体" w:cs="宋体"/>
          <w:b/>
          <w:sz w:val="30"/>
          <w:szCs w:val="30"/>
          <w:highlight w:val="none"/>
          <w:lang w:val="en-US" w:eastAsia="zh-CN"/>
        </w:rPr>
      </w:pPr>
      <w:r>
        <w:rPr>
          <w:rFonts w:hint="eastAsia" w:ascii="宋体" w:hAnsi="宋体" w:cs="宋体"/>
          <w:b/>
          <w:sz w:val="30"/>
          <w:szCs w:val="30"/>
          <w:highlight w:val="none"/>
          <w:lang w:val="en-US" w:eastAsia="zh-CN"/>
        </w:rPr>
        <w:t>目录</w:t>
      </w:r>
    </w:p>
    <w:p w14:paraId="1B6B5B9F">
      <w:pPr>
        <w:pStyle w:val="9"/>
        <w:tabs>
          <w:tab w:val="right" w:leader="dot" w:pos="8306"/>
        </w:tabs>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TOC \o "1-1" \h \u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_Toc24575 </w:instrText>
      </w:r>
      <w:r>
        <w:rPr>
          <w:rFonts w:hint="eastAsia" w:ascii="宋体" w:hAnsi="宋体" w:eastAsia="宋体" w:cs="宋体"/>
          <w:bCs w:val="0"/>
          <w:szCs w:val="28"/>
          <w:highlight w:val="none"/>
        </w:rPr>
        <w:fldChar w:fldCharType="separate"/>
      </w:r>
      <w:r>
        <w:rPr>
          <w:rFonts w:hint="eastAsia" w:eastAsia="宋体"/>
        </w:rPr>
        <w:t xml:space="preserve">一、 </w:t>
      </w:r>
      <w:r>
        <w:rPr>
          <w:rFonts w:hint="eastAsia" w:eastAsia="宋体"/>
          <w:highlight w:val="none"/>
          <w:lang w:val="en-US" w:eastAsia="zh-CN"/>
        </w:rPr>
        <w:t>碳纤维复合材料孔隙缺陷超声传播仿真分析与孔隙空间分布表征技术研究</w:t>
      </w:r>
      <w:r>
        <w:tab/>
      </w:r>
      <w:r>
        <w:fldChar w:fldCharType="begin"/>
      </w:r>
      <w:r>
        <w:instrText xml:space="preserve"> PAGEREF _Toc24575 \h </w:instrText>
      </w:r>
      <w:r>
        <w:fldChar w:fldCharType="separate"/>
      </w:r>
      <w:r>
        <w:t>1</w:t>
      </w:r>
      <w:r>
        <w:fldChar w:fldCharType="end"/>
      </w:r>
      <w:r>
        <w:rPr>
          <w:rFonts w:hint="eastAsia" w:ascii="宋体" w:hAnsi="宋体" w:eastAsia="宋体" w:cs="宋体"/>
          <w:bCs w:val="0"/>
          <w:szCs w:val="28"/>
          <w:highlight w:val="none"/>
        </w:rPr>
        <w:fldChar w:fldCharType="end"/>
      </w:r>
    </w:p>
    <w:p w14:paraId="1FFFEB46">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_Toc18436 </w:instrText>
      </w:r>
      <w:r>
        <w:rPr>
          <w:rFonts w:hint="eastAsia" w:ascii="宋体" w:hAnsi="宋体" w:eastAsia="宋体" w:cs="宋体"/>
          <w:bCs w:val="0"/>
          <w:szCs w:val="28"/>
          <w:highlight w:val="none"/>
        </w:rPr>
        <w:fldChar w:fldCharType="separate"/>
      </w:r>
      <w:r>
        <w:rPr>
          <w:rFonts w:hint="eastAsia" w:eastAsia="宋体"/>
          <w:lang w:val="en-US" w:eastAsia="zh-CN"/>
        </w:rPr>
        <w:t xml:space="preserve">二、 </w:t>
      </w:r>
      <w:r>
        <w:rPr>
          <w:rFonts w:hint="eastAsia" w:eastAsia="宋体"/>
          <w:highlight w:val="none"/>
          <w:lang w:val="en-US" w:eastAsia="zh-CN"/>
        </w:rPr>
        <w:t>基于数据驱动的热压罐固化过程建模与工艺优化技术</w:t>
      </w:r>
      <w:r>
        <w:tab/>
      </w:r>
      <w:r>
        <w:fldChar w:fldCharType="begin"/>
      </w:r>
      <w:r>
        <w:instrText xml:space="preserve"> PAGEREF _Toc18436 \h </w:instrText>
      </w:r>
      <w:r>
        <w:fldChar w:fldCharType="separate"/>
      </w:r>
      <w:r>
        <w:t>3</w:t>
      </w:r>
      <w:r>
        <w:fldChar w:fldCharType="end"/>
      </w:r>
      <w:r>
        <w:rPr>
          <w:rFonts w:hint="eastAsia" w:ascii="宋体" w:hAnsi="宋体" w:eastAsia="宋体" w:cs="宋体"/>
          <w:bCs w:val="0"/>
          <w:szCs w:val="28"/>
          <w:highlight w:val="none"/>
        </w:rPr>
        <w:fldChar w:fldCharType="end"/>
      </w:r>
    </w:p>
    <w:p w14:paraId="5998A96D">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_Toc29147 </w:instrText>
      </w:r>
      <w:r>
        <w:rPr>
          <w:rFonts w:hint="eastAsia" w:ascii="宋体" w:hAnsi="宋体" w:eastAsia="宋体" w:cs="宋体"/>
          <w:bCs w:val="0"/>
          <w:szCs w:val="28"/>
          <w:highlight w:val="none"/>
        </w:rPr>
        <w:fldChar w:fldCharType="separate"/>
      </w:r>
      <w:r>
        <w:rPr>
          <w:rFonts w:hint="eastAsia" w:eastAsia="宋体"/>
          <w:lang w:val="en-US" w:eastAsia="zh-CN"/>
        </w:rPr>
        <w:t xml:space="preserve">三、 </w:t>
      </w:r>
      <w:r>
        <w:rPr>
          <w:rFonts w:hint="eastAsia" w:eastAsia="宋体"/>
          <w:highlight w:val="none"/>
          <w:lang w:val="en-US" w:eastAsia="zh-CN"/>
        </w:rPr>
        <w:t>飞机复合材料结构表面冲击显色技术研究</w:t>
      </w:r>
      <w:r>
        <w:tab/>
      </w:r>
      <w:r>
        <w:fldChar w:fldCharType="begin"/>
      </w:r>
      <w:r>
        <w:instrText xml:space="preserve"> PAGEREF _Toc29147 \h </w:instrText>
      </w:r>
      <w:r>
        <w:fldChar w:fldCharType="separate"/>
      </w:r>
      <w:r>
        <w:t>5</w:t>
      </w:r>
      <w:r>
        <w:fldChar w:fldCharType="end"/>
      </w:r>
      <w:r>
        <w:rPr>
          <w:rFonts w:hint="eastAsia" w:ascii="宋体" w:hAnsi="宋体" w:eastAsia="宋体" w:cs="宋体"/>
          <w:bCs w:val="0"/>
          <w:szCs w:val="28"/>
          <w:highlight w:val="none"/>
        </w:rPr>
        <w:fldChar w:fldCharType="end"/>
      </w:r>
    </w:p>
    <w:p w14:paraId="5EEA2840">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_Toc11598 </w:instrText>
      </w:r>
      <w:r>
        <w:rPr>
          <w:rFonts w:hint="eastAsia" w:ascii="宋体" w:hAnsi="宋体" w:eastAsia="宋体" w:cs="宋体"/>
          <w:bCs w:val="0"/>
          <w:szCs w:val="28"/>
          <w:highlight w:val="none"/>
        </w:rPr>
        <w:fldChar w:fldCharType="separate"/>
      </w:r>
      <w:r>
        <w:rPr>
          <w:rFonts w:hint="eastAsia" w:eastAsia="宋体"/>
          <w:lang w:val="en-US" w:eastAsia="zh-CN"/>
        </w:rPr>
        <w:t xml:space="preserve">四、 </w:t>
      </w:r>
      <w:r>
        <w:rPr>
          <w:rFonts w:hint="eastAsia" w:eastAsia="宋体"/>
          <w:highlight w:val="none"/>
          <w:lang w:val="en-US" w:eastAsia="zh-CN"/>
        </w:rPr>
        <w:t>复合材料机身筒段自适应控制施力仿真及快速响应代理模型预测技术</w:t>
      </w:r>
      <w:r>
        <w:tab/>
      </w:r>
      <w:r>
        <w:fldChar w:fldCharType="begin"/>
      </w:r>
      <w:r>
        <w:instrText xml:space="preserve"> PAGEREF _Toc11598 \h </w:instrText>
      </w:r>
      <w:r>
        <w:fldChar w:fldCharType="separate"/>
      </w:r>
      <w:r>
        <w:t>7</w:t>
      </w:r>
      <w:r>
        <w:fldChar w:fldCharType="end"/>
      </w:r>
      <w:r>
        <w:rPr>
          <w:rFonts w:hint="eastAsia" w:ascii="宋体" w:hAnsi="宋体" w:eastAsia="宋体" w:cs="宋体"/>
          <w:bCs w:val="0"/>
          <w:szCs w:val="28"/>
          <w:highlight w:val="none"/>
        </w:rPr>
        <w:fldChar w:fldCharType="end"/>
      </w:r>
    </w:p>
    <w:p w14:paraId="57B8F1B5">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_Toc29692 </w:instrText>
      </w:r>
      <w:r>
        <w:rPr>
          <w:rFonts w:hint="eastAsia" w:ascii="宋体" w:hAnsi="宋体" w:eastAsia="宋体" w:cs="宋体"/>
          <w:bCs w:val="0"/>
          <w:szCs w:val="28"/>
          <w:highlight w:val="none"/>
        </w:rPr>
        <w:fldChar w:fldCharType="separate"/>
      </w:r>
      <w:r>
        <w:rPr>
          <w:rFonts w:hint="eastAsia" w:eastAsia="宋体"/>
          <w:lang w:val="en-US" w:eastAsia="zh-CN"/>
        </w:rPr>
        <w:t xml:space="preserve">五、 </w:t>
      </w:r>
      <w:r>
        <w:rPr>
          <w:rFonts w:hint="eastAsia" w:eastAsia="宋体"/>
          <w:highlight w:val="none"/>
          <w:lang w:val="en-US" w:eastAsia="zh-CN"/>
        </w:rPr>
        <w:t>基于次生应力波的复合材料结构冲击损伤实时监测与诊断技术</w:t>
      </w:r>
      <w:r>
        <w:tab/>
      </w:r>
      <w:r>
        <w:fldChar w:fldCharType="begin"/>
      </w:r>
      <w:r>
        <w:instrText xml:space="preserve"> PAGEREF _Toc29692 \h </w:instrText>
      </w:r>
      <w:r>
        <w:fldChar w:fldCharType="separate"/>
      </w:r>
      <w:r>
        <w:t>9</w:t>
      </w:r>
      <w:r>
        <w:fldChar w:fldCharType="end"/>
      </w:r>
      <w:r>
        <w:rPr>
          <w:rFonts w:hint="eastAsia" w:ascii="宋体" w:hAnsi="宋体" w:eastAsia="宋体" w:cs="宋体"/>
          <w:bCs w:val="0"/>
          <w:szCs w:val="28"/>
          <w:highlight w:val="none"/>
        </w:rPr>
        <w:fldChar w:fldCharType="end"/>
      </w:r>
    </w:p>
    <w:p w14:paraId="2C7857DD">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_Toc2317 </w:instrText>
      </w:r>
      <w:r>
        <w:rPr>
          <w:rFonts w:hint="eastAsia" w:ascii="宋体" w:hAnsi="宋体" w:eastAsia="宋体" w:cs="宋体"/>
          <w:bCs w:val="0"/>
          <w:szCs w:val="28"/>
          <w:highlight w:val="none"/>
        </w:rPr>
        <w:fldChar w:fldCharType="separate"/>
      </w:r>
      <w:r>
        <w:rPr>
          <w:rFonts w:hint="eastAsia"/>
        </w:rPr>
        <w:t xml:space="preserve">六、 </w:t>
      </w:r>
      <w:r>
        <w:rPr>
          <w:rFonts w:hint="eastAsia"/>
          <w:highlight w:val="none"/>
        </w:rPr>
        <w:t>飞机内饰非金属材料表面金属化和光亮电镀技术研究</w:t>
      </w:r>
      <w:r>
        <w:tab/>
      </w:r>
      <w:r>
        <w:fldChar w:fldCharType="begin"/>
      </w:r>
      <w:r>
        <w:instrText xml:space="preserve"> PAGEREF _Toc2317 \h </w:instrText>
      </w:r>
      <w:r>
        <w:fldChar w:fldCharType="separate"/>
      </w:r>
      <w:r>
        <w:t>11</w:t>
      </w:r>
      <w:r>
        <w:fldChar w:fldCharType="end"/>
      </w:r>
      <w:r>
        <w:rPr>
          <w:rFonts w:hint="eastAsia" w:ascii="宋体" w:hAnsi="宋体" w:eastAsia="宋体" w:cs="宋体"/>
          <w:bCs w:val="0"/>
          <w:szCs w:val="28"/>
          <w:highlight w:val="none"/>
        </w:rPr>
        <w:fldChar w:fldCharType="end"/>
      </w:r>
    </w:p>
    <w:p w14:paraId="5FBA73FF">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_Toc20989 </w:instrText>
      </w:r>
      <w:r>
        <w:rPr>
          <w:rFonts w:hint="eastAsia" w:ascii="宋体" w:hAnsi="宋体" w:eastAsia="宋体" w:cs="宋体"/>
          <w:bCs w:val="0"/>
          <w:szCs w:val="28"/>
          <w:highlight w:val="none"/>
        </w:rPr>
        <w:fldChar w:fldCharType="separate"/>
      </w:r>
      <w:r>
        <w:rPr>
          <w:rFonts w:hint="eastAsia" w:ascii="Times New Roman" w:hAnsi="Times New Roman" w:eastAsia="宋体" w:cs="Times New Roman"/>
          <w:lang w:val="en-US" w:eastAsia="zh-CN"/>
        </w:rPr>
        <w:t xml:space="preserve">七、 </w:t>
      </w:r>
      <w:r>
        <w:rPr>
          <w:rFonts w:hint="eastAsia" w:ascii="Times New Roman" w:hAnsi="Times New Roman" w:eastAsia="宋体" w:cs="Times New Roman"/>
          <w:highlight w:val="none"/>
          <w:lang w:val="en-US" w:eastAsia="zh-CN"/>
        </w:rPr>
        <w:t>面向飞机结构件的精准激光冲击强化技术研究</w:t>
      </w:r>
      <w:r>
        <w:tab/>
      </w:r>
      <w:r>
        <w:fldChar w:fldCharType="begin"/>
      </w:r>
      <w:r>
        <w:instrText xml:space="preserve"> PAGEREF _Toc20989 \h </w:instrText>
      </w:r>
      <w:r>
        <w:fldChar w:fldCharType="separate"/>
      </w:r>
      <w:r>
        <w:t>13</w:t>
      </w:r>
      <w:r>
        <w:fldChar w:fldCharType="end"/>
      </w:r>
      <w:r>
        <w:rPr>
          <w:rFonts w:hint="eastAsia" w:ascii="宋体" w:hAnsi="宋体" w:eastAsia="宋体" w:cs="宋体"/>
          <w:bCs w:val="0"/>
          <w:szCs w:val="28"/>
          <w:highlight w:val="none"/>
        </w:rPr>
        <w:fldChar w:fldCharType="end"/>
      </w:r>
    </w:p>
    <w:p w14:paraId="4FB005D5">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_Toc21623 </w:instrText>
      </w:r>
      <w:r>
        <w:rPr>
          <w:rFonts w:hint="eastAsia" w:ascii="宋体" w:hAnsi="宋体" w:eastAsia="宋体" w:cs="宋体"/>
          <w:bCs w:val="0"/>
          <w:szCs w:val="28"/>
          <w:highlight w:val="none"/>
        </w:rPr>
        <w:fldChar w:fldCharType="separate"/>
      </w:r>
      <w:r>
        <w:rPr>
          <w:rFonts w:hint="eastAsia" w:eastAsia="宋体"/>
        </w:rPr>
        <w:t xml:space="preserve">八、 </w:t>
      </w:r>
      <w:r>
        <w:rPr>
          <w:rFonts w:hint="eastAsia" w:eastAsia="宋体"/>
          <w:highlight w:val="none"/>
        </w:rPr>
        <w:t>基于在线监测的激光选区熔化TC4合金热平衡与形性前馈控制技术</w:t>
      </w:r>
      <w:r>
        <w:tab/>
      </w:r>
      <w:r>
        <w:fldChar w:fldCharType="begin"/>
      </w:r>
      <w:r>
        <w:instrText xml:space="preserve"> PAGEREF _Toc21623 \h </w:instrText>
      </w:r>
      <w:r>
        <w:fldChar w:fldCharType="separate"/>
      </w:r>
      <w:r>
        <w:t>15</w:t>
      </w:r>
      <w:r>
        <w:fldChar w:fldCharType="end"/>
      </w:r>
      <w:r>
        <w:rPr>
          <w:rFonts w:hint="eastAsia" w:ascii="宋体" w:hAnsi="宋体" w:eastAsia="宋体" w:cs="宋体"/>
          <w:bCs w:val="0"/>
          <w:szCs w:val="28"/>
          <w:highlight w:val="none"/>
        </w:rPr>
        <w:fldChar w:fldCharType="end"/>
      </w:r>
    </w:p>
    <w:p w14:paraId="675FCD01">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_Toc5145 </w:instrText>
      </w:r>
      <w:r>
        <w:rPr>
          <w:rFonts w:hint="eastAsia" w:ascii="宋体" w:hAnsi="宋体" w:eastAsia="宋体" w:cs="宋体"/>
          <w:bCs w:val="0"/>
          <w:szCs w:val="28"/>
          <w:highlight w:val="none"/>
        </w:rPr>
        <w:fldChar w:fldCharType="separate"/>
      </w:r>
      <w:r>
        <w:rPr>
          <w:rFonts w:hint="eastAsia" w:eastAsia="宋体"/>
        </w:rPr>
        <w:t xml:space="preserve">九、 </w:t>
      </w:r>
      <w:r>
        <w:rPr>
          <w:rFonts w:hint="eastAsia" w:eastAsia="宋体"/>
          <w:highlight w:val="none"/>
        </w:rPr>
        <w:t>C</w:t>
      </w:r>
      <w:r>
        <w:rPr>
          <w:rFonts w:hint="eastAsia"/>
          <w:highlight w:val="none"/>
          <w:lang w:val="en-US" w:eastAsia="zh-CN"/>
        </w:rPr>
        <w:t>C</w:t>
      </w:r>
      <w:r>
        <w:rPr>
          <w:rFonts w:hint="eastAsia" w:eastAsia="宋体"/>
          <w:highlight w:val="none"/>
        </w:rPr>
        <w:t>F/PEEK增材制造智能纤维路径增强与在线质量监控技术研究</w:t>
      </w:r>
      <w:r>
        <w:tab/>
      </w:r>
      <w:r>
        <w:fldChar w:fldCharType="begin"/>
      </w:r>
      <w:r>
        <w:instrText xml:space="preserve"> PAGEREF _Toc5145 \h </w:instrText>
      </w:r>
      <w:r>
        <w:fldChar w:fldCharType="separate"/>
      </w:r>
      <w:r>
        <w:t>17</w:t>
      </w:r>
      <w:r>
        <w:fldChar w:fldCharType="end"/>
      </w:r>
      <w:r>
        <w:rPr>
          <w:rFonts w:hint="eastAsia" w:ascii="宋体" w:hAnsi="宋体" w:eastAsia="宋体" w:cs="宋体"/>
          <w:bCs w:val="0"/>
          <w:szCs w:val="28"/>
          <w:highlight w:val="none"/>
        </w:rPr>
        <w:fldChar w:fldCharType="end"/>
      </w:r>
    </w:p>
    <w:p w14:paraId="66E1A564">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_Toc9012 </w:instrText>
      </w:r>
      <w:r>
        <w:rPr>
          <w:rFonts w:hint="eastAsia" w:ascii="宋体" w:hAnsi="宋体" w:eastAsia="宋体" w:cs="宋体"/>
          <w:bCs w:val="0"/>
          <w:szCs w:val="28"/>
          <w:highlight w:val="none"/>
        </w:rPr>
        <w:fldChar w:fldCharType="separate"/>
      </w:r>
      <w:r>
        <w:rPr>
          <w:rFonts w:hint="eastAsia" w:eastAsia="宋体"/>
          <w:lang w:val="en-US" w:eastAsia="zh-CN"/>
        </w:rPr>
        <w:t xml:space="preserve">十、 </w:t>
      </w:r>
      <w:r>
        <w:rPr>
          <w:rFonts w:hint="eastAsia" w:eastAsia="宋体"/>
          <w:highlight w:val="none"/>
          <w:lang w:val="en-US" w:eastAsia="zh-CN"/>
        </w:rPr>
        <w:t>纤维增强热塑性材料可重构嵌入式增材制造高性能成形机理与工艺研究</w:t>
      </w:r>
      <w:r>
        <w:tab/>
      </w:r>
      <w:r>
        <w:fldChar w:fldCharType="begin"/>
      </w:r>
      <w:r>
        <w:instrText xml:space="preserve"> PAGEREF _Toc9012 \h </w:instrText>
      </w:r>
      <w:r>
        <w:fldChar w:fldCharType="separate"/>
      </w:r>
      <w:r>
        <w:t>19</w:t>
      </w:r>
      <w:r>
        <w:fldChar w:fldCharType="end"/>
      </w:r>
      <w:r>
        <w:rPr>
          <w:rFonts w:hint="eastAsia" w:ascii="宋体" w:hAnsi="宋体" w:eastAsia="宋体" w:cs="宋体"/>
          <w:bCs w:val="0"/>
          <w:szCs w:val="28"/>
          <w:highlight w:val="none"/>
        </w:rPr>
        <w:fldChar w:fldCharType="end"/>
      </w:r>
    </w:p>
    <w:p w14:paraId="060C384A">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_Toc25162 </w:instrText>
      </w:r>
      <w:r>
        <w:rPr>
          <w:rFonts w:hint="eastAsia" w:ascii="宋体" w:hAnsi="宋体" w:eastAsia="宋体" w:cs="宋体"/>
          <w:bCs w:val="0"/>
          <w:szCs w:val="28"/>
          <w:highlight w:val="none"/>
        </w:rPr>
        <w:fldChar w:fldCharType="separate"/>
      </w:r>
      <w:r>
        <w:rPr>
          <w:rFonts w:hint="eastAsia" w:eastAsia="宋体"/>
        </w:rPr>
        <w:t xml:space="preserve">十一、 </w:t>
      </w:r>
      <w:r>
        <w:rPr>
          <w:rFonts w:hint="eastAsia" w:eastAsia="宋体"/>
          <w:highlight w:val="none"/>
        </w:rPr>
        <w:t>残余应力场下SLMed Ti6Al4V结构多缺陷协同损伤机理与三维疲劳寿命预测方法研究</w:t>
      </w:r>
      <w:r>
        <w:tab/>
      </w:r>
      <w:r>
        <w:fldChar w:fldCharType="begin"/>
      </w:r>
      <w:r>
        <w:instrText xml:space="preserve"> PAGEREF _Toc25162 \h </w:instrText>
      </w:r>
      <w:r>
        <w:fldChar w:fldCharType="separate"/>
      </w:r>
      <w:r>
        <w:t>21</w:t>
      </w:r>
      <w:r>
        <w:fldChar w:fldCharType="end"/>
      </w:r>
      <w:r>
        <w:rPr>
          <w:rFonts w:hint="eastAsia" w:ascii="宋体" w:hAnsi="宋体" w:eastAsia="宋体" w:cs="宋体"/>
          <w:bCs w:val="0"/>
          <w:szCs w:val="28"/>
          <w:highlight w:val="none"/>
        </w:rPr>
        <w:fldChar w:fldCharType="end"/>
      </w:r>
    </w:p>
    <w:p w14:paraId="4EEA7CBD">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_Toc7299 </w:instrText>
      </w:r>
      <w:r>
        <w:rPr>
          <w:rFonts w:hint="eastAsia" w:ascii="宋体" w:hAnsi="宋体" w:eastAsia="宋体" w:cs="宋体"/>
          <w:bCs w:val="0"/>
          <w:szCs w:val="28"/>
          <w:highlight w:val="none"/>
        </w:rPr>
        <w:fldChar w:fldCharType="separate"/>
      </w:r>
      <w:r>
        <w:rPr>
          <w:rFonts w:hint="eastAsia"/>
        </w:rPr>
        <w:t xml:space="preserve">十二、 </w:t>
      </w:r>
      <w:r>
        <w:rPr>
          <w:rFonts w:hint="eastAsia"/>
          <w:highlight w:val="none"/>
        </w:rPr>
        <w:t>蒙皮临时防护涂料研发</w:t>
      </w:r>
      <w:r>
        <w:tab/>
      </w:r>
      <w:r>
        <w:fldChar w:fldCharType="begin"/>
      </w:r>
      <w:r>
        <w:instrText xml:space="preserve"> PAGEREF _Toc7299 \h </w:instrText>
      </w:r>
      <w:r>
        <w:fldChar w:fldCharType="separate"/>
      </w:r>
      <w:r>
        <w:t>23</w:t>
      </w:r>
      <w:r>
        <w:fldChar w:fldCharType="end"/>
      </w:r>
      <w:r>
        <w:rPr>
          <w:rFonts w:hint="eastAsia" w:ascii="宋体" w:hAnsi="宋体" w:eastAsia="宋体" w:cs="宋体"/>
          <w:bCs w:val="0"/>
          <w:szCs w:val="28"/>
          <w:highlight w:val="none"/>
        </w:rPr>
        <w:fldChar w:fldCharType="end"/>
      </w:r>
    </w:p>
    <w:p w14:paraId="6E8E6E11">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_Toc4444 </w:instrText>
      </w:r>
      <w:r>
        <w:rPr>
          <w:rFonts w:hint="eastAsia" w:ascii="宋体" w:hAnsi="宋体" w:eastAsia="宋体" w:cs="宋体"/>
          <w:bCs w:val="0"/>
          <w:szCs w:val="28"/>
          <w:highlight w:val="none"/>
        </w:rPr>
        <w:fldChar w:fldCharType="separate"/>
      </w:r>
      <w:r>
        <w:rPr>
          <w:rFonts w:hint="eastAsia" w:eastAsia="宋体"/>
          <w:lang w:val="en-US" w:eastAsia="zh-CN"/>
        </w:rPr>
        <w:t xml:space="preserve">十三、 </w:t>
      </w:r>
      <w:r>
        <w:rPr>
          <w:rFonts w:hint="eastAsia" w:eastAsia="宋体"/>
          <w:highlight w:val="none"/>
          <w:lang w:val="en-US" w:eastAsia="zh-CN"/>
        </w:rPr>
        <w:t>面向商用飞机规模化生产的全球供应链网络建模与优化技术研究</w:t>
      </w:r>
      <w:r>
        <w:tab/>
      </w:r>
      <w:r>
        <w:fldChar w:fldCharType="begin"/>
      </w:r>
      <w:r>
        <w:instrText xml:space="preserve"> PAGEREF _Toc4444 \h </w:instrText>
      </w:r>
      <w:r>
        <w:fldChar w:fldCharType="separate"/>
      </w:r>
      <w:r>
        <w:t>1</w:t>
      </w:r>
      <w:r>
        <w:fldChar w:fldCharType="end"/>
      </w:r>
      <w:r>
        <w:rPr>
          <w:rFonts w:hint="eastAsia" w:ascii="宋体" w:hAnsi="宋体" w:eastAsia="宋体" w:cs="宋体"/>
          <w:bCs w:val="0"/>
          <w:szCs w:val="28"/>
          <w:highlight w:val="none"/>
        </w:rPr>
        <w:fldChar w:fldCharType="end"/>
      </w:r>
    </w:p>
    <w:p w14:paraId="2EA33F9C">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_Toc27256 </w:instrText>
      </w:r>
      <w:r>
        <w:rPr>
          <w:rFonts w:hint="eastAsia" w:ascii="宋体" w:hAnsi="宋体" w:eastAsia="宋体" w:cs="宋体"/>
          <w:bCs w:val="0"/>
          <w:szCs w:val="28"/>
          <w:highlight w:val="none"/>
        </w:rPr>
        <w:fldChar w:fldCharType="separate"/>
      </w:r>
      <w:r>
        <w:rPr>
          <w:rFonts w:hint="eastAsia" w:eastAsia="宋体"/>
          <w:lang w:val="en-US" w:eastAsia="zh-CN"/>
        </w:rPr>
        <w:t xml:space="preserve">十四、 </w:t>
      </w:r>
      <w:r>
        <w:rPr>
          <w:rFonts w:hint="eastAsia"/>
          <w:highlight w:val="none"/>
          <w:lang w:val="en-US" w:eastAsia="zh-CN"/>
        </w:rPr>
        <w:t>飞机装配人员作业助力服设计及人机工效评估方法研究</w:t>
      </w:r>
      <w:r>
        <w:tab/>
      </w:r>
      <w:r>
        <w:fldChar w:fldCharType="begin"/>
      </w:r>
      <w:r>
        <w:instrText xml:space="preserve"> PAGEREF _Toc27256 \h </w:instrText>
      </w:r>
      <w:r>
        <w:fldChar w:fldCharType="separate"/>
      </w:r>
      <w:r>
        <w:t>3</w:t>
      </w:r>
      <w:r>
        <w:fldChar w:fldCharType="end"/>
      </w:r>
      <w:r>
        <w:rPr>
          <w:rFonts w:hint="eastAsia" w:ascii="宋体" w:hAnsi="宋体" w:eastAsia="宋体" w:cs="宋体"/>
          <w:bCs w:val="0"/>
          <w:szCs w:val="28"/>
          <w:highlight w:val="none"/>
        </w:rPr>
        <w:fldChar w:fldCharType="end"/>
      </w:r>
    </w:p>
    <w:p w14:paraId="298E6D53">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_Toc4509 </w:instrText>
      </w:r>
      <w:r>
        <w:rPr>
          <w:rFonts w:hint="eastAsia" w:ascii="宋体" w:hAnsi="宋体" w:eastAsia="宋体" w:cs="宋体"/>
          <w:bCs w:val="0"/>
          <w:szCs w:val="28"/>
          <w:highlight w:val="none"/>
        </w:rPr>
        <w:fldChar w:fldCharType="separate"/>
      </w:r>
      <w:r>
        <w:rPr>
          <w:rFonts w:hint="eastAsia" w:ascii="Times New Roman" w:hAnsi="Times New Roman" w:eastAsia="宋体" w:cs="Times New Roman"/>
          <w:lang w:val="en-US" w:eastAsia="zh-CN"/>
        </w:rPr>
        <w:t xml:space="preserve">十五、 </w:t>
      </w:r>
      <w:r>
        <w:rPr>
          <w:rFonts w:hint="eastAsia" w:ascii="Times New Roman" w:hAnsi="Times New Roman" w:eastAsia="宋体" w:cs="Times New Roman"/>
          <w:highlight w:val="none"/>
          <w:lang w:val="en-US" w:eastAsia="zh-CN"/>
        </w:rPr>
        <w:t>复材薄壁叠层结构湿胶状态制孔毛刺控制工艺及性能影响</w:t>
      </w:r>
      <w:r>
        <w:tab/>
      </w:r>
      <w:r>
        <w:fldChar w:fldCharType="begin"/>
      </w:r>
      <w:r>
        <w:instrText xml:space="preserve"> PAGEREF _Toc4509 \h </w:instrText>
      </w:r>
      <w:r>
        <w:fldChar w:fldCharType="separate"/>
      </w:r>
      <w:r>
        <w:t>5</w:t>
      </w:r>
      <w:r>
        <w:fldChar w:fldCharType="end"/>
      </w:r>
      <w:r>
        <w:rPr>
          <w:rFonts w:hint="eastAsia" w:ascii="宋体" w:hAnsi="宋体" w:eastAsia="宋体" w:cs="宋体"/>
          <w:bCs w:val="0"/>
          <w:szCs w:val="28"/>
          <w:highlight w:val="none"/>
        </w:rPr>
        <w:fldChar w:fldCharType="end"/>
      </w:r>
    </w:p>
    <w:p w14:paraId="7E9E1A29">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_Toc14451 </w:instrText>
      </w:r>
      <w:r>
        <w:rPr>
          <w:rFonts w:hint="eastAsia" w:ascii="宋体" w:hAnsi="宋体" w:eastAsia="宋体" w:cs="宋体"/>
          <w:bCs w:val="0"/>
          <w:szCs w:val="28"/>
          <w:highlight w:val="none"/>
        </w:rPr>
        <w:fldChar w:fldCharType="separate"/>
      </w:r>
      <w:r>
        <w:rPr>
          <w:rFonts w:hint="eastAsia" w:ascii="Times New Roman" w:hAnsi="Times New Roman" w:eastAsia="宋体" w:cs="Times New Roman"/>
          <w:lang w:val="en-US" w:eastAsia="zh-CN"/>
        </w:rPr>
        <w:t xml:space="preserve">十六、 </w:t>
      </w:r>
      <w:r>
        <w:rPr>
          <w:rFonts w:hint="eastAsia" w:ascii="Times New Roman" w:hAnsi="Times New Roman" w:eastAsia="宋体" w:cs="Times New Roman"/>
          <w:highlight w:val="none"/>
          <w:lang w:val="en-US" w:eastAsia="zh-CN"/>
        </w:rPr>
        <w:t>地震与地基沉降对飞机生产线关键设备的影响研究</w:t>
      </w:r>
      <w:r>
        <w:tab/>
      </w:r>
      <w:r>
        <w:fldChar w:fldCharType="begin"/>
      </w:r>
      <w:r>
        <w:instrText xml:space="preserve"> PAGEREF _Toc14451 \h </w:instrText>
      </w:r>
      <w:r>
        <w:fldChar w:fldCharType="separate"/>
      </w:r>
      <w:r>
        <w:t>7</w:t>
      </w:r>
      <w:r>
        <w:fldChar w:fldCharType="end"/>
      </w:r>
      <w:r>
        <w:rPr>
          <w:rFonts w:hint="eastAsia" w:ascii="宋体" w:hAnsi="宋体" w:eastAsia="宋体" w:cs="宋体"/>
          <w:bCs w:val="0"/>
          <w:szCs w:val="28"/>
          <w:highlight w:val="none"/>
        </w:rPr>
        <w:fldChar w:fldCharType="end"/>
      </w:r>
    </w:p>
    <w:p w14:paraId="03AAA4DF">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_Toc5140 </w:instrText>
      </w:r>
      <w:r>
        <w:rPr>
          <w:rFonts w:hint="eastAsia" w:ascii="宋体" w:hAnsi="宋体" w:eastAsia="宋体" w:cs="宋体"/>
          <w:bCs w:val="0"/>
          <w:szCs w:val="28"/>
          <w:highlight w:val="none"/>
        </w:rPr>
        <w:fldChar w:fldCharType="separate"/>
      </w:r>
      <w:r>
        <w:rPr>
          <w:rFonts w:hint="eastAsia" w:ascii="Times New Roman" w:hAnsi="Times New Roman" w:eastAsia="宋体" w:cs="Times New Roman"/>
          <w:lang w:val="en-US" w:eastAsia="zh-CN"/>
        </w:rPr>
        <w:t xml:space="preserve">十七、 </w:t>
      </w:r>
      <w:r>
        <w:rPr>
          <w:rFonts w:hint="eastAsia" w:ascii="Times New Roman" w:hAnsi="Times New Roman" w:eastAsia="宋体" w:cs="Times New Roman"/>
          <w:highlight w:val="none"/>
          <w:lang w:val="en-US" w:eastAsia="zh-CN"/>
        </w:rPr>
        <w:t>基于电容感测的复材结构装配间隙快速检测技术研究</w:t>
      </w:r>
      <w:r>
        <w:tab/>
      </w:r>
      <w:r>
        <w:fldChar w:fldCharType="begin"/>
      </w:r>
      <w:r>
        <w:instrText xml:space="preserve"> PAGEREF _Toc5140 \h </w:instrText>
      </w:r>
      <w:r>
        <w:fldChar w:fldCharType="separate"/>
      </w:r>
      <w:r>
        <w:t>10</w:t>
      </w:r>
      <w:r>
        <w:fldChar w:fldCharType="end"/>
      </w:r>
      <w:r>
        <w:rPr>
          <w:rFonts w:hint="eastAsia" w:ascii="宋体" w:hAnsi="宋体" w:eastAsia="宋体" w:cs="宋体"/>
          <w:bCs w:val="0"/>
          <w:szCs w:val="28"/>
          <w:highlight w:val="none"/>
        </w:rPr>
        <w:fldChar w:fldCharType="end"/>
      </w:r>
    </w:p>
    <w:p w14:paraId="6A16169A">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_Toc25080 </w:instrText>
      </w:r>
      <w:r>
        <w:rPr>
          <w:rFonts w:hint="eastAsia" w:ascii="宋体" w:hAnsi="宋体" w:eastAsia="宋体" w:cs="宋体"/>
          <w:bCs w:val="0"/>
          <w:szCs w:val="28"/>
          <w:highlight w:val="none"/>
        </w:rPr>
        <w:fldChar w:fldCharType="separate"/>
      </w:r>
      <w:r>
        <w:rPr>
          <w:rFonts w:hint="eastAsia" w:eastAsia="宋体"/>
          <w:lang w:val="en-US" w:eastAsia="zh-CN"/>
        </w:rPr>
        <w:t xml:space="preserve">十八、 </w:t>
      </w:r>
      <w:r>
        <w:rPr>
          <w:rFonts w:hint="eastAsia"/>
          <w:highlight w:val="none"/>
          <w:lang w:val="en-US" w:eastAsia="zh-CN"/>
        </w:rPr>
        <w:t>面向</w:t>
      </w:r>
      <w:r>
        <w:rPr>
          <w:rFonts w:hint="eastAsia" w:eastAsia="宋体"/>
          <w:highlight w:val="none"/>
          <w:lang w:val="en-US" w:eastAsia="zh-CN"/>
        </w:rPr>
        <w:t>复材结构装配现场意外撞击的防护策略研究</w:t>
      </w:r>
      <w:r>
        <w:tab/>
      </w:r>
      <w:r>
        <w:fldChar w:fldCharType="begin"/>
      </w:r>
      <w:r>
        <w:instrText xml:space="preserve"> PAGEREF _Toc25080 \h </w:instrText>
      </w:r>
      <w:r>
        <w:fldChar w:fldCharType="separate"/>
      </w:r>
      <w:r>
        <w:t>12</w:t>
      </w:r>
      <w:r>
        <w:fldChar w:fldCharType="end"/>
      </w:r>
      <w:r>
        <w:rPr>
          <w:rFonts w:hint="eastAsia" w:ascii="宋体" w:hAnsi="宋体" w:eastAsia="宋体" w:cs="宋体"/>
          <w:bCs w:val="0"/>
          <w:szCs w:val="28"/>
          <w:highlight w:val="none"/>
        </w:rPr>
        <w:fldChar w:fldCharType="end"/>
      </w:r>
    </w:p>
    <w:p w14:paraId="7C3D3D5F">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_Toc8803 </w:instrText>
      </w:r>
      <w:r>
        <w:rPr>
          <w:rFonts w:hint="eastAsia" w:ascii="宋体" w:hAnsi="宋体" w:eastAsia="宋体" w:cs="宋体"/>
          <w:bCs w:val="0"/>
          <w:szCs w:val="28"/>
          <w:highlight w:val="none"/>
        </w:rPr>
        <w:fldChar w:fldCharType="separate"/>
      </w:r>
      <w:r>
        <w:rPr>
          <w:rFonts w:hint="eastAsia" w:eastAsia="宋体"/>
          <w:lang w:val="en-US"/>
        </w:rPr>
        <w:t xml:space="preserve">十九、 </w:t>
      </w:r>
      <w:r>
        <w:rPr>
          <w:rFonts w:hint="eastAsia" w:eastAsia="宋体"/>
          <w:highlight w:val="none"/>
          <w:lang w:val="en-US" w:eastAsia="zh-CN"/>
        </w:rPr>
        <w:t>高时变环境下移载装备全景导航技术研究</w:t>
      </w:r>
      <w:r>
        <w:tab/>
      </w:r>
      <w:r>
        <w:fldChar w:fldCharType="begin"/>
      </w:r>
      <w:r>
        <w:instrText xml:space="preserve"> PAGEREF _Toc8803 \h </w:instrText>
      </w:r>
      <w:r>
        <w:fldChar w:fldCharType="separate"/>
      </w:r>
      <w:r>
        <w:t>15</w:t>
      </w:r>
      <w:r>
        <w:fldChar w:fldCharType="end"/>
      </w:r>
      <w:r>
        <w:rPr>
          <w:rFonts w:hint="eastAsia" w:ascii="宋体" w:hAnsi="宋体" w:eastAsia="宋体" w:cs="宋体"/>
          <w:bCs w:val="0"/>
          <w:szCs w:val="28"/>
          <w:highlight w:val="none"/>
        </w:rPr>
        <w:fldChar w:fldCharType="end"/>
      </w:r>
    </w:p>
    <w:p w14:paraId="21D20852">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_Toc15757 </w:instrText>
      </w:r>
      <w:r>
        <w:rPr>
          <w:rFonts w:hint="eastAsia" w:ascii="宋体" w:hAnsi="宋体" w:eastAsia="宋体" w:cs="宋体"/>
          <w:bCs w:val="0"/>
          <w:szCs w:val="28"/>
          <w:highlight w:val="none"/>
        </w:rPr>
        <w:fldChar w:fldCharType="separate"/>
      </w:r>
      <w:r>
        <w:rPr>
          <w:rFonts w:hint="eastAsia" w:eastAsia="宋体"/>
          <w:lang w:val="en-US" w:eastAsia="zh-CN"/>
        </w:rPr>
        <w:t xml:space="preserve">二十、 </w:t>
      </w:r>
      <w:r>
        <w:rPr>
          <w:rFonts w:hint="eastAsia" w:eastAsia="宋体"/>
          <w:highlight w:val="none"/>
          <w:lang w:val="en-US" w:eastAsia="zh-CN"/>
        </w:rPr>
        <w:t>面向多构型小批量焊接的快速编程关键技术研究</w:t>
      </w:r>
      <w:r>
        <w:tab/>
      </w:r>
      <w:r>
        <w:fldChar w:fldCharType="begin"/>
      </w:r>
      <w:r>
        <w:instrText xml:space="preserve"> PAGEREF _Toc15757 \h </w:instrText>
      </w:r>
      <w:r>
        <w:fldChar w:fldCharType="separate"/>
      </w:r>
      <w:r>
        <w:t>17</w:t>
      </w:r>
      <w:r>
        <w:fldChar w:fldCharType="end"/>
      </w:r>
      <w:r>
        <w:rPr>
          <w:rFonts w:hint="eastAsia" w:ascii="宋体" w:hAnsi="宋体" w:eastAsia="宋体" w:cs="宋体"/>
          <w:bCs w:val="0"/>
          <w:szCs w:val="28"/>
          <w:highlight w:val="none"/>
        </w:rPr>
        <w:fldChar w:fldCharType="end"/>
      </w:r>
    </w:p>
    <w:p w14:paraId="75E34C39">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_Toc1727 </w:instrText>
      </w:r>
      <w:r>
        <w:rPr>
          <w:rFonts w:hint="eastAsia" w:ascii="宋体" w:hAnsi="宋体" w:eastAsia="宋体" w:cs="宋体"/>
          <w:bCs w:val="0"/>
          <w:szCs w:val="28"/>
          <w:highlight w:val="none"/>
        </w:rPr>
        <w:fldChar w:fldCharType="separate"/>
      </w:r>
      <w:r>
        <w:rPr>
          <w:rFonts w:hint="eastAsia" w:eastAsia="宋体"/>
          <w:lang w:val="en-US" w:eastAsia="zh-CN"/>
        </w:rPr>
        <w:t xml:space="preserve">二十一、 </w:t>
      </w:r>
      <w:r>
        <w:rPr>
          <w:rFonts w:hint="eastAsia" w:eastAsia="宋体"/>
          <w:highlight w:val="none"/>
          <w:lang w:val="en-US" w:eastAsia="zh-CN"/>
        </w:rPr>
        <w:t>基于视觉引导下的机械臂低时延位姿矫正技术研究</w:t>
      </w:r>
      <w:r>
        <w:tab/>
      </w:r>
      <w:r>
        <w:fldChar w:fldCharType="begin"/>
      </w:r>
      <w:r>
        <w:instrText xml:space="preserve"> PAGEREF _Toc1727 \h </w:instrText>
      </w:r>
      <w:r>
        <w:fldChar w:fldCharType="separate"/>
      </w:r>
      <w:r>
        <w:t>19</w:t>
      </w:r>
      <w:r>
        <w:fldChar w:fldCharType="end"/>
      </w:r>
      <w:r>
        <w:rPr>
          <w:rFonts w:hint="eastAsia" w:ascii="宋体" w:hAnsi="宋体" w:eastAsia="宋体" w:cs="宋体"/>
          <w:bCs w:val="0"/>
          <w:szCs w:val="28"/>
          <w:highlight w:val="none"/>
        </w:rPr>
        <w:fldChar w:fldCharType="end"/>
      </w:r>
    </w:p>
    <w:p w14:paraId="7F3EEBDF">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_Toc2893 </w:instrText>
      </w:r>
      <w:r>
        <w:rPr>
          <w:rFonts w:hint="eastAsia" w:ascii="宋体" w:hAnsi="宋体" w:eastAsia="宋体" w:cs="宋体"/>
          <w:bCs w:val="0"/>
          <w:szCs w:val="28"/>
          <w:highlight w:val="none"/>
        </w:rPr>
        <w:fldChar w:fldCharType="separate"/>
      </w:r>
      <w:r>
        <w:rPr>
          <w:rFonts w:hint="eastAsia" w:eastAsia="宋体"/>
        </w:rPr>
        <w:t xml:space="preserve">二十二、 </w:t>
      </w:r>
      <w:r>
        <w:rPr>
          <w:rFonts w:hint="eastAsia" w:eastAsia="宋体"/>
          <w:highlight w:val="none"/>
        </w:rPr>
        <w:t>ARINC825多分支环形总线网络故障检测与定位装备研制</w:t>
      </w:r>
      <w:r>
        <w:tab/>
      </w:r>
      <w:r>
        <w:fldChar w:fldCharType="begin"/>
      </w:r>
      <w:r>
        <w:instrText xml:space="preserve"> PAGEREF _Toc2893 \h </w:instrText>
      </w:r>
      <w:r>
        <w:fldChar w:fldCharType="separate"/>
      </w:r>
      <w:r>
        <w:t>21</w:t>
      </w:r>
      <w:r>
        <w:fldChar w:fldCharType="end"/>
      </w:r>
      <w:r>
        <w:rPr>
          <w:rFonts w:hint="eastAsia" w:ascii="宋体" w:hAnsi="宋体" w:eastAsia="宋体" w:cs="宋体"/>
          <w:bCs w:val="0"/>
          <w:szCs w:val="28"/>
          <w:highlight w:val="none"/>
        </w:rPr>
        <w:fldChar w:fldCharType="end"/>
      </w:r>
    </w:p>
    <w:p w14:paraId="5F97BA27">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_Toc3234 </w:instrText>
      </w:r>
      <w:r>
        <w:rPr>
          <w:rFonts w:hint="eastAsia" w:ascii="宋体" w:hAnsi="宋体" w:eastAsia="宋体" w:cs="宋体"/>
          <w:bCs w:val="0"/>
          <w:szCs w:val="28"/>
          <w:highlight w:val="none"/>
        </w:rPr>
        <w:fldChar w:fldCharType="separate"/>
      </w:r>
      <w:r>
        <w:rPr>
          <w:rFonts w:hint="eastAsia" w:eastAsia="宋体"/>
        </w:rPr>
        <w:t xml:space="preserve">二十三、 </w:t>
      </w:r>
      <w:r>
        <w:rPr>
          <w:rFonts w:hint="eastAsia" w:eastAsia="宋体"/>
          <w:highlight w:val="none"/>
        </w:rPr>
        <w:t>面向飞机总装的机载系统多模态故障智能诊断技术研究</w:t>
      </w:r>
      <w:r>
        <w:tab/>
      </w:r>
      <w:r>
        <w:fldChar w:fldCharType="begin"/>
      </w:r>
      <w:r>
        <w:instrText xml:space="preserve"> PAGEREF _Toc3234 \h </w:instrText>
      </w:r>
      <w:r>
        <w:fldChar w:fldCharType="separate"/>
      </w:r>
      <w:r>
        <w:t>23</w:t>
      </w:r>
      <w:r>
        <w:fldChar w:fldCharType="end"/>
      </w:r>
      <w:r>
        <w:rPr>
          <w:rFonts w:hint="eastAsia" w:ascii="宋体" w:hAnsi="宋体" w:eastAsia="宋体" w:cs="宋体"/>
          <w:bCs w:val="0"/>
          <w:szCs w:val="28"/>
          <w:highlight w:val="none"/>
        </w:rPr>
        <w:fldChar w:fldCharType="end"/>
      </w:r>
    </w:p>
    <w:p w14:paraId="7CE7A865">
      <w:pPr>
        <w:pStyle w:val="9"/>
        <w:tabs>
          <w:tab w:val="right" w:leader="dot" w:pos="8306"/>
        </w:tabs>
      </w:pPr>
      <w:r>
        <w:rPr>
          <w:rFonts w:hint="eastAsia" w:ascii="宋体" w:hAnsi="宋体" w:eastAsia="宋体" w:cs="宋体"/>
          <w:bCs w:val="0"/>
          <w:szCs w:val="28"/>
          <w:highlight w:val="none"/>
        </w:rPr>
        <w:fldChar w:fldCharType="begin"/>
      </w:r>
      <w:r>
        <w:rPr>
          <w:rFonts w:hint="eastAsia" w:ascii="宋体" w:hAnsi="宋体" w:eastAsia="宋体" w:cs="宋体"/>
          <w:bCs w:val="0"/>
          <w:szCs w:val="28"/>
          <w:highlight w:val="none"/>
        </w:rPr>
        <w:instrText xml:space="preserve"> HYPERLINK \l _Toc3409 </w:instrText>
      </w:r>
      <w:r>
        <w:rPr>
          <w:rFonts w:hint="eastAsia" w:ascii="宋体" w:hAnsi="宋体" w:eastAsia="宋体" w:cs="宋体"/>
          <w:bCs w:val="0"/>
          <w:szCs w:val="28"/>
          <w:highlight w:val="none"/>
        </w:rPr>
        <w:fldChar w:fldCharType="separate"/>
      </w:r>
      <w:r>
        <w:rPr>
          <w:rFonts w:hint="eastAsia" w:eastAsia="宋体"/>
          <w:lang w:val="en-US" w:eastAsia="zh-CN"/>
        </w:rPr>
        <w:t xml:space="preserve">二十四、 </w:t>
      </w:r>
      <w:r>
        <w:rPr>
          <w:rFonts w:hint="eastAsia" w:eastAsia="宋体"/>
          <w:highlight w:val="none"/>
          <w:lang w:val="en-US" w:eastAsia="zh-CN"/>
        </w:rPr>
        <w:t>基于深度学习的商用飞机常用金属材料及其构件智能失效分析技术研究</w:t>
      </w:r>
      <w:r>
        <w:tab/>
      </w:r>
      <w:r>
        <w:fldChar w:fldCharType="begin"/>
      </w:r>
      <w:r>
        <w:instrText xml:space="preserve"> PAGEREF _Toc3409 \h </w:instrText>
      </w:r>
      <w:r>
        <w:fldChar w:fldCharType="separate"/>
      </w:r>
      <w:r>
        <w:t>25</w:t>
      </w:r>
      <w:r>
        <w:fldChar w:fldCharType="end"/>
      </w:r>
      <w:r>
        <w:rPr>
          <w:rFonts w:hint="eastAsia" w:ascii="宋体" w:hAnsi="宋体" w:eastAsia="宋体" w:cs="宋体"/>
          <w:bCs w:val="0"/>
          <w:szCs w:val="28"/>
          <w:highlight w:val="none"/>
        </w:rPr>
        <w:fldChar w:fldCharType="end"/>
      </w:r>
    </w:p>
    <w:p w14:paraId="3FECECF1">
      <w:pPr>
        <w:pStyle w:val="9"/>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0" w:firstLineChars="0"/>
        <w:textAlignment w:val="auto"/>
        <w:outlineLvl w:val="9"/>
        <w:rPr>
          <w:rFonts w:hint="eastAsia"/>
          <w:highlight w:val="none"/>
        </w:rPr>
        <w:sectPr>
          <w:footerReference r:id="rId5" w:type="default"/>
          <w:pgSz w:w="11906" w:h="16838"/>
          <w:pgMar w:top="1440" w:right="1800" w:bottom="1440" w:left="1800" w:header="851" w:footer="992" w:gutter="0"/>
          <w:pgNumType w:start="1"/>
          <w:cols w:space="425" w:num="1"/>
          <w:docGrid w:type="lines" w:linePitch="312" w:charSpace="0"/>
        </w:sectPr>
      </w:pPr>
      <w:r>
        <w:rPr>
          <w:rFonts w:hint="eastAsia" w:ascii="宋体" w:hAnsi="宋体" w:eastAsia="宋体" w:cs="宋体"/>
          <w:bCs w:val="0"/>
          <w:szCs w:val="28"/>
          <w:highlight w:val="none"/>
        </w:rPr>
        <w:fldChar w:fldCharType="end"/>
      </w:r>
      <w:r>
        <w:rPr>
          <w:rFonts w:hint="eastAsia" w:ascii="宋体" w:hAnsi="宋体" w:eastAsia="宋体" w:cs="宋体"/>
          <w:sz w:val="28"/>
          <w:szCs w:val="28"/>
          <w:highlight w:val="none"/>
        </w:rPr>
        <w:br w:type="page"/>
      </w:r>
    </w:p>
    <w:p w14:paraId="07CA78E8">
      <w:pPr>
        <w:pStyle w:val="2"/>
        <w:pageBreakBefore w:val="0"/>
        <w:kinsoku/>
        <w:wordWrap/>
        <w:topLinePunct w:val="0"/>
        <w:autoSpaceDE/>
        <w:autoSpaceDN/>
        <w:bidi w:val="0"/>
        <w:spacing w:line="240" w:lineRule="auto"/>
        <w:rPr>
          <w:rFonts w:hint="eastAsia" w:eastAsia="宋体"/>
          <w:highlight w:val="none"/>
        </w:rPr>
      </w:pPr>
      <w:bookmarkStart w:id="0" w:name="_Toc24575"/>
      <w:r>
        <w:rPr>
          <w:rFonts w:hint="eastAsia" w:eastAsia="宋体"/>
          <w:highlight w:val="none"/>
          <w:lang w:val="en-US" w:eastAsia="zh-CN"/>
        </w:rPr>
        <w:t>碳纤维复合材料孔隙缺陷超声传播仿真分析与孔隙空间分布表征技术研究</w:t>
      </w:r>
      <w:bookmarkEnd w:id="0"/>
    </w:p>
    <w:p w14:paraId="095B7A25">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黑体" w:hAnsi="黑体" w:eastAsia="黑体" w:cs="黑体"/>
          <w:sz w:val="24"/>
          <w:szCs w:val="22"/>
          <w:highlight w:val="none"/>
        </w:rPr>
      </w:pPr>
      <w:r>
        <w:rPr>
          <w:rFonts w:hint="eastAsia" w:ascii="黑体" w:hAnsi="黑体" w:eastAsia="黑体" w:cs="黑体"/>
          <w:sz w:val="24"/>
          <w:szCs w:val="22"/>
          <w:highlight w:val="none"/>
        </w:rPr>
        <w:t>项目背景</w:t>
      </w:r>
    </w:p>
    <w:p w14:paraId="31F83E0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孔隙作为碳纤维复合材料典型</w:t>
      </w:r>
      <w:r>
        <w:rPr>
          <w:rFonts w:hint="eastAsia" w:ascii="宋体" w:hAnsi="宋体" w:eastAsia="宋体" w:cs="宋体"/>
          <w:color w:val="000000"/>
          <w:sz w:val="24"/>
          <w:highlight w:val="none"/>
          <w:lang w:eastAsia="zh-CN"/>
        </w:rPr>
        <w:t>的</w:t>
      </w:r>
      <w:r>
        <w:rPr>
          <w:rFonts w:hint="eastAsia" w:ascii="宋体" w:hAnsi="宋体" w:eastAsia="宋体" w:cs="宋体"/>
          <w:color w:val="000000"/>
          <w:sz w:val="24"/>
          <w:highlight w:val="none"/>
        </w:rPr>
        <w:t>内部缺陷，是结构的应力集中危险点。密集分布的孔隙可能</w:t>
      </w:r>
      <w:r>
        <w:rPr>
          <w:rFonts w:hint="eastAsia" w:ascii="宋体" w:hAnsi="宋体" w:eastAsia="宋体" w:cs="宋体"/>
          <w:color w:val="000000"/>
          <w:sz w:val="24"/>
          <w:highlight w:val="none"/>
          <w:lang w:eastAsia="zh-CN"/>
        </w:rPr>
        <w:t>引起分层并</w:t>
      </w:r>
      <w:r>
        <w:rPr>
          <w:rFonts w:hint="eastAsia" w:ascii="宋体" w:hAnsi="宋体" w:eastAsia="宋体" w:cs="宋体"/>
          <w:color w:val="000000"/>
          <w:sz w:val="24"/>
          <w:highlight w:val="none"/>
        </w:rPr>
        <w:t>快速</w:t>
      </w:r>
      <w:r>
        <w:rPr>
          <w:rFonts w:hint="eastAsia" w:ascii="宋体" w:hAnsi="宋体" w:eastAsia="宋体" w:cs="宋体"/>
          <w:color w:val="000000"/>
          <w:sz w:val="24"/>
          <w:highlight w:val="none"/>
          <w:lang w:eastAsia="zh-CN"/>
        </w:rPr>
        <w:t>扩</w:t>
      </w:r>
      <w:r>
        <w:rPr>
          <w:rFonts w:hint="eastAsia" w:ascii="宋体" w:hAnsi="宋体" w:eastAsia="宋体" w:cs="宋体"/>
          <w:color w:val="000000"/>
          <w:sz w:val="24"/>
          <w:highlight w:val="none"/>
        </w:rPr>
        <w:t>展，造成力学性能减退，</w:t>
      </w:r>
      <w:r>
        <w:rPr>
          <w:rFonts w:hint="eastAsia" w:ascii="宋体" w:hAnsi="宋体" w:eastAsia="宋体" w:cs="宋体"/>
          <w:color w:val="000000"/>
          <w:sz w:val="24"/>
          <w:highlight w:val="none"/>
          <w:lang w:eastAsia="zh-CN"/>
        </w:rPr>
        <w:t>最终</w:t>
      </w:r>
      <w:r>
        <w:rPr>
          <w:rFonts w:hint="eastAsia" w:ascii="宋体" w:hAnsi="宋体" w:eastAsia="宋体" w:cs="宋体"/>
          <w:color w:val="000000"/>
          <w:sz w:val="24"/>
          <w:highlight w:val="none"/>
        </w:rPr>
        <w:t>导致结构失效。准确检测复合材料</w:t>
      </w:r>
      <w:r>
        <w:rPr>
          <w:rFonts w:hint="eastAsia" w:ascii="宋体" w:hAnsi="宋体" w:eastAsia="宋体" w:cs="宋体"/>
          <w:color w:val="000000"/>
          <w:sz w:val="24"/>
          <w:highlight w:val="none"/>
          <w:lang w:eastAsia="zh-CN"/>
        </w:rPr>
        <w:t>内部</w:t>
      </w:r>
      <w:r>
        <w:rPr>
          <w:rFonts w:hint="eastAsia" w:ascii="宋体" w:hAnsi="宋体" w:eastAsia="宋体" w:cs="宋体"/>
          <w:color w:val="000000"/>
          <w:sz w:val="24"/>
          <w:highlight w:val="none"/>
        </w:rPr>
        <w:t>的孔隙率，对于</w:t>
      </w:r>
      <w:r>
        <w:rPr>
          <w:rFonts w:hint="eastAsia" w:ascii="宋体" w:hAnsi="宋体" w:eastAsia="宋体" w:cs="宋体"/>
          <w:color w:val="000000"/>
          <w:sz w:val="24"/>
          <w:highlight w:val="none"/>
          <w:lang w:eastAsia="zh-CN"/>
        </w:rPr>
        <w:t>评价</w:t>
      </w:r>
      <w:r>
        <w:rPr>
          <w:rFonts w:hint="eastAsia" w:ascii="宋体" w:hAnsi="宋体" w:eastAsia="宋体" w:cs="宋体"/>
          <w:color w:val="000000"/>
          <w:sz w:val="24"/>
          <w:highlight w:val="none"/>
        </w:rPr>
        <w:t>产品质量、</w:t>
      </w:r>
      <w:r>
        <w:rPr>
          <w:rFonts w:hint="eastAsia" w:ascii="宋体" w:hAnsi="宋体" w:eastAsia="宋体" w:cs="宋体"/>
          <w:color w:val="000000"/>
          <w:sz w:val="24"/>
          <w:highlight w:val="none"/>
          <w:lang w:eastAsia="zh-CN"/>
        </w:rPr>
        <w:t>降低安全隐患、</w:t>
      </w:r>
      <w:r>
        <w:rPr>
          <w:rFonts w:hint="eastAsia" w:ascii="宋体" w:hAnsi="宋体" w:eastAsia="宋体" w:cs="宋体"/>
          <w:color w:val="000000"/>
          <w:sz w:val="24"/>
          <w:highlight w:val="none"/>
        </w:rPr>
        <w:t>提高服役寿命有重要意义。基于</w:t>
      </w:r>
      <w:r>
        <w:rPr>
          <w:rFonts w:hint="eastAsia" w:ascii="宋体" w:hAnsi="宋体" w:eastAsia="宋体" w:cs="宋体"/>
          <w:color w:val="000000"/>
          <w:sz w:val="24"/>
          <w:highlight w:val="none"/>
          <w:lang w:eastAsia="zh-CN"/>
        </w:rPr>
        <w:t>孔隙率</w:t>
      </w:r>
      <w:r>
        <w:rPr>
          <w:rFonts w:hint="eastAsia" w:ascii="宋体" w:hAnsi="宋体" w:eastAsia="宋体" w:cs="宋体"/>
          <w:color w:val="000000"/>
          <w:sz w:val="24"/>
          <w:highlight w:val="none"/>
        </w:rPr>
        <w:t>对比试块的超声检测技术以其非接触、快速、无损等优势，成为复合材料孔隙率检测的重要手段</w:t>
      </w:r>
      <w:r>
        <w:rPr>
          <w:rFonts w:hint="eastAsia" w:ascii="宋体" w:hAnsi="宋体" w:eastAsia="宋体" w:cs="宋体"/>
          <w:color w:val="000000"/>
          <w:sz w:val="24"/>
          <w:highlight w:val="none"/>
          <w:lang w:eastAsia="zh-CN"/>
        </w:rPr>
        <w:t>。</w:t>
      </w:r>
    </w:p>
    <w:p w14:paraId="637A74F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由于</w:t>
      </w:r>
      <w:r>
        <w:rPr>
          <w:rFonts w:hint="eastAsia" w:ascii="宋体" w:hAnsi="宋体" w:eastAsia="宋体" w:cs="宋体"/>
          <w:color w:val="000000"/>
          <w:sz w:val="24"/>
          <w:highlight w:val="none"/>
        </w:rPr>
        <w:t>超声</w:t>
      </w:r>
      <w:r>
        <w:rPr>
          <w:rFonts w:hint="eastAsia" w:ascii="宋体" w:hAnsi="宋体" w:eastAsia="宋体" w:cs="宋体"/>
          <w:color w:val="000000"/>
          <w:sz w:val="24"/>
          <w:highlight w:val="none"/>
          <w:lang w:eastAsia="zh-CN"/>
        </w:rPr>
        <w:t>信号</w:t>
      </w:r>
      <w:r>
        <w:rPr>
          <w:rFonts w:hint="eastAsia" w:ascii="宋体" w:hAnsi="宋体" w:eastAsia="宋体" w:cs="宋体"/>
          <w:color w:val="000000"/>
          <w:sz w:val="24"/>
          <w:highlight w:val="none"/>
        </w:rPr>
        <w:t>与孔隙交互时</w:t>
      </w:r>
      <w:r>
        <w:rPr>
          <w:rFonts w:hint="eastAsia" w:ascii="宋体" w:hAnsi="宋体" w:eastAsia="宋体" w:cs="宋体"/>
          <w:color w:val="000000"/>
          <w:sz w:val="24"/>
          <w:highlight w:val="none"/>
          <w:lang w:eastAsia="zh-CN"/>
        </w:rPr>
        <w:t>会</w:t>
      </w:r>
      <w:r>
        <w:rPr>
          <w:rFonts w:hint="eastAsia" w:ascii="宋体" w:hAnsi="宋体" w:eastAsia="宋体" w:cs="宋体"/>
          <w:color w:val="000000"/>
          <w:sz w:val="24"/>
          <w:highlight w:val="none"/>
        </w:rPr>
        <w:t>发生多重散射，在复合材料高各向异性、强衰减影响下，其响应机理及散射规律尚未完全理清，</w:t>
      </w:r>
      <w:r>
        <w:rPr>
          <w:rFonts w:hint="eastAsia" w:ascii="宋体" w:hAnsi="宋体" w:eastAsia="宋体" w:cs="宋体"/>
          <w:color w:val="000000"/>
          <w:sz w:val="24"/>
          <w:highlight w:val="none"/>
          <w:lang w:val="en-US" w:eastAsia="zh-CN"/>
        </w:rPr>
        <w:t>且不同</w:t>
      </w:r>
      <w:r>
        <w:rPr>
          <w:rFonts w:hint="eastAsia" w:ascii="宋体" w:hAnsi="宋体" w:eastAsia="宋体" w:cs="宋体"/>
          <w:color w:val="000000"/>
          <w:sz w:val="24"/>
          <w:highlight w:val="none"/>
        </w:rPr>
        <w:t>复合材料</w:t>
      </w:r>
      <w:r>
        <w:rPr>
          <w:rFonts w:hint="eastAsia" w:ascii="宋体" w:hAnsi="宋体" w:eastAsia="宋体" w:cs="宋体"/>
          <w:color w:val="000000"/>
          <w:sz w:val="24"/>
          <w:highlight w:val="none"/>
          <w:lang w:eastAsia="zh-CN"/>
        </w:rPr>
        <w:t>内部的</w:t>
      </w:r>
      <w:r>
        <w:rPr>
          <w:rFonts w:hint="eastAsia" w:ascii="宋体" w:hAnsi="宋体" w:eastAsia="宋体" w:cs="宋体"/>
          <w:color w:val="000000"/>
          <w:sz w:val="24"/>
          <w:highlight w:val="none"/>
        </w:rPr>
        <w:t>孔隙</w:t>
      </w:r>
      <w:r>
        <w:rPr>
          <w:rFonts w:hint="eastAsia" w:ascii="宋体" w:hAnsi="宋体" w:eastAsia="宋体" w:cs="宋体"/>
          <w:color w:val="000000"/>
          <w:sz w:val="24"/>
          <w:highlight w:val="none"/>
          <w:lang w:val="en-US" w:eastAsia="zh-CN"/>
        </w:rPr>
        <w:t>空间</w:t>
      </w:r>
      <w:r>
        <w:rPr>
          <w:rFonts w:hint="eastAsia" w:ascii="宋体" w:hAnsi="宋体" w:eastAsia="宋体" w:cs="宋体"/>
          <w:color w:val="000000"/>
          <w:sz w:val="24"/>
          <w:highlight w:val="none"/>
        </w:rPr>
        <w:t>分布</w:t>
      </w:r>
      <w:r>
        <w:rPr>
          <w:rFonts w:hint="eastAsia" w:ascii="宋体" w:hAnsi="宋体" w:eastAsia="宋体" w:cs="宋体"/>
          <w:color w:val="000000"/>
          <w:sz w:val="24"/>
          <w:highlight w:val="none"/>
          <w:lang w:val="en-US" w:eastAsia="zh-CN"/>
        </w:rPr>
        <w:t>差异大，尚</w:t>
      </w:r>
      <w:r>
        <w:rPr>
          <w:rFonts w:hint="eastAsia" w:ascii="宋体" w:hAnsi="宋体" w:eastAsia="宋体" w:cs="宋体"/>
          <w:color w:val="000000"/>
          <w:sz w:val="24"/>
          <w:highlight w:val="none"/>
        </w:rPr>
        <w:t>无法通过理论模型</w:t>
      </w:r>
      <w:r>
        <w:rPr>
          <w:rFonts w:hint="eastAsia" w:ascii="宋体" w:hAnsi="宋体" w:eastAsia="宋体" w:cs="宋体"/>
          <w:color w:val="000000"/>
          <w:sz w:val="24"/>
          <w:highlight w:val="none"/>
          <w:lang w:eastAsia="zh-CN"/>
        </w:rPr>
        <w:t>由一种材料的对比试块，通过</w:t>
      </w:r>
      <w:r>
        <w:rPr>
          <w:rFonts w:hint="eastAsia" w:ascii="宋体" w:hAnsi="宋体" w:eastAsia="宋体" w:cs="宋体"/>
          <w:color w:val="000000"/>
          <w:sz w:val="24"/>
          <w:highlight w:val="none"/>
        </w:rPr>
        <w:t>计算推导得到</w:t>
      </w:r>
      <w:r>
        <w:rPr>
          <w:rFonts w:hint="eastAsia" w:ascii="宋体" w:hAnsi="宋体" w:eastAsia="宋体" w:cs="宋体"/>
          <w:color w:val="000000"/>
          <w:sz w:val="24"/>
          <w:highlight w:val="none"/>
          <w:lang w:eastAsia="zh-CN"/>
        </w:rPr>
        <w:t>另外一种</w:t>
      </w:r>
      <w:r>
        <w:rPr>
          <w:rFonts w:hint="eastAsia" w:ascii="宋体" w:hAnsi="宋体" w:eastAsia="宋体" w:cs="宋体"/>
          <w:color w:val="000000"/>
          <w:sz w:val="24"/>
          <w:highlight w:val="none"/>
        </w:rPr>
        <w:t>材料的孔隙含量与超声信号的响应关系。</w:t>
      </w:r>
      <w:r>
        <w:rPr>
          <w:rFonts w:hint="eastAsia" w:ascii="宋体" w:hAnsi="宋体" w:eastAsia="宋体" w:cs="宋体"/>
          <w:color w:val="000000"/>
          <w:sz w:val="24"/>
          <w:highlight w:val="none"/>
          <w:lang w:val="en-US" w:eastAsia="zh-CN"/>
        </w:rPr>
        <w:t>目前，</w:t>
      </w:r>
      <w:r>
        <w:rPr>
          <w:rFonts w:hint="eastAsia" w:ascii="宋体" w:hAnsi="宋体" w:eastAsia="宋体" w:cs="宋体"/>
          <w:color w:val="000000"/>
          <w:sz w:val="24"/>
          <w:highlight w:val="none"/>
        </w:rPr>
        <w:t>随着民用飞机材料应用体系的不断扩展，需要制造大量的孔隙率</w:t>
      </w:r>
      <w:r>
        <w:rPr>
          <w:rFonts w:hint="eastAsia" w:ascii="宋体" w:hAnsi="宋体" w:eastAsia="宋体" w:cs="宋体"/>
          <w:color w:val="000000"/>
          <w:sz w:val="24"/>
          <w:highlight w:val="none"/>
          <w:lang w:eastAsia="zh-CN"/>
        </w:rPr>
        <w:t>对比试块</w:t>
      </w:r>
      <w:r>
        <w:rPr>
          <w:rFonts w:hint="eastAsia" w:ascii="宋体" w:hAnsi="宋体" w:eastAsia="宋体" w:cs="宋体"/>
          <w:color w:val="000000"/>
          <w:sz w:val="24"/>
          <w:highlight w:val="none"/>
        </w:rPr>
        <w:t>实物以实现孔隙率</w:t>
      </w:r>
      <w:r>
        <w:rPr>
          <w:rFonts w:hint="eastAsia" w:ascii="宋体" w:hAnsi="宋体" w:eastAsia="宋体" w:cs="宋体"/>
          <w:color w:val="000000"/>
          <w:sz w:val="24"/>
          <w:highlight w:val="none"/>
          <w:lang w:eastAsia="zh-CN"/>
        </w:rPr>
        <w:t>的</w:t>
      </w:r>
      <w:r>
        <w:rPr>
          <w:rFonts w:hint="eastAsia" w:ascii="宋体" w:hAnsi="宋体" w:eastAsia="宋体" w:cs="宋体"/>
          <w:color w:val="000000"/>
          <w:sz w:val="24"/>
          <w:highlight w:val="none"/>
        </w:rPr>
        <w:t>定量评价</w:t>
      </w:r>
      <w:r>
        <w:rPr>
          <w:rFonts w:hint="eastAsia" w:ascii="宋体" w:hAnsi="宋体" w:eastAsia="宋体" w:cs="宋体"/>
          <w:color w:val="000000"/>
          <w:sz w:val="24"/>
          <w:highlight w:val="none"/>
          <w:lang w:eastAsia="zh-CN"/>
        </w:rPr>
        <w:t>。该方法</w:t>
      </w:r>
      <w:r>
        <w:rPr>
          <w:rFonts w:hint="eastAsia" w:ascii="宋体" w:hAnsi="宋体" w:eastAsia="宋体" w:cs="宋体"/>
          <w:color w:val="000000"/>
          <w:sz w:val="24"/>
          <w:highlight w:val="none"/>
        </w:rPr>
        <w:t>成本高昂且耗时耗力</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成为制约</w:t>
      </w:r>
      <w:r>
        <w:rPr>
          <w:rFonts w:hint="eastAsia" w:ascii="宋体" w:hAnsi="宋体" w:eastAsia="宋体" w:cs="宋体"/>
          <w:color w:val="000000"/>
          <w:sz w:val="24"/>
          <w:highlight w:val="none"/>
          <w:lang w:eastAsia="zh-CN"/>
        </w:rPr>
        <w:t>民机</w:t>
      </w:r>
      <w:r>
        <w:rPr>
          <w:rFonts w:hint="eastAsia" w:ascii="宋体" w:hAnsi="宋体" w:eastAsia="宋体" w:cs="宋体"/>
          <w:color w:val="000000"/>
          <w:sz w:val="24"/>
          <w:highlight w:val="none"/>
        </w:rPr>
        <w:t>型号研制进度的关键要素之一。另一方面，随着计算机技术和数值模拟方法的飞速发展，通过仿真手段深入研究超声在碳纤维复合材料中的传播规律，</w:t>
      </w:r>
      <w:r>
        <w:rPr>
          <w:rFonts w:hint="eastAsia" w:ascii="宋体" w:hAnsi="宋体" w:eastAsia="宋体" w:cs="宋体"/>
          <w:color w:val="000000"/>
          <w:sz w:val="24"/>
          <w:highlight w:val="none"/>
          <w:lang w:val="en-US" w:eastAsia="zh-CN"/>
        </w:rPr>
        <w:t>同时建立适应不同材料体系的孔隙</w:t>
      </w:r>
      <w:r>
        <w:rPr>
          <w:rFonts w:hint="eastAsia" w:ascii="宋体" w:hAnsi="宋体" w:eastAsia="宋体" w:cs="宋体"/>
          <w:color w:val="000000"/>
          <w:sz w:val="24"/>
          <w:highlight w:val="none"/>
        </w:rPr>
        <w:t>空间分布</w:t>
      </w:r>
      <w:r>
        <w:rPr>
          <w:rFonts w:hint="eastAsia" w:ascii="宋体" w:hAnsi="宋体" w:eastAsia="宋体" w:cs="宋体"/>
          <w:color w:val="000000"/>
          <w:sz w:val="24"/>
          <w:highlight w:val="none"/>
          <w:lang w:val="en-US" w:eastAsia="zh-CN"/>
        </w:rPr>
        <w:t>模型，</w:t>
      </w:r>
      <w:r>
        <w:rPr>
          <w:rFonts w:hint="eastAsia" w:ascii="宋体" w:hAnsi="宋体" w:eastAsia="宋体" w:cs="宋体"/>
          <w:color w:val="000000"/>
          <w:sz w:val="24"/>
          <w:highlight w:val="none"/>
        </w:rPr>
        <w:t>为优化超声检测工艺、提高</w:t>
      </w:r>
      <w:r>
        <w:rPr>
          <w:rFonts w:hint="eastAsia" w:ascii="宋体" w:hAnsi="宋体" w:eastAsia="宋体" w:cs="宋体"/>
          <w:color w:val="000000"/>
          <w:sz w:val="24"/>
          <w:highlight w:val="none"/>
          <w:lang w:eastAsia="zh-CN"/>
        </w:rPr>
        <w:t>孔隙率</w:t>
      </w:r>
      <w:r>
        <w:rPr>
          <w:rFonts w:hint="eastAsia" w:ascii="宋体" w:hAnsi="宋体" w:eastAsia="宋体" w:cs="宋体"/>
          <w:color w:val="000000"/>
          <w:sz w:val="24"/>
          <w:highlight w:val="none"/>
        </w:rPr>
        <w:t>评价准确性提供了新的研究途径。</w:t>
      </w:r>
    </w:p>
    <w:p w14:paraId="4576508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eastAsia="仿宋_GB2312" w:cs="Times New Roman"/>
          <w:color w:val="000000"/>
          <w:sz w:val="24"/>
          <w:highlight w:val="none"/>
        </w:rPr>
      </w:pPr>
      <w:r>
        <w:rPr>
          <w:rFonts w:hint="eastAsia" w:ascii="宋体" w:hAnsi="宋体" w:eastAsia="宋体" w:cs="宋体"/>
          <w:color w:val="000000"/>
          <w:sz w:val="24"/>
          <w:highlight w:val="none"/>
        </w:rPr>
        <w:t>因此</w:t>
      </w:r>
      <w:r>
        <w:rPr>
          <w:rFonts w:hint="eastAsia" w:ascii="宋体" w:hAnsi="宋体" w:eastAsia="宋体" w:cs="宋体"/>
          <w:color w:val="000000"/>
          <w:sz w:val="24"/>
          <w:highlight w:val="none"/>
          <w:lang w:eastAsia="zh-CN"/>
        </w:rPr>
        <w:t>，基于</w:t>
      </w:r>
      <w:r>
        <w:rPr>
          <w:rFonts w:hint="eastAsia" w:ascii="宋体" w:hAnsi="宋体" w:eastAsia="宋体" w:cs="宋体"/>
          <w:color w:val="000000"/>
          <w:sz w:val="24"/>
          <w:highlight w:val="none"/>
        </w:rPr>
        <w:t>碳纤维复合材料孔隙率评价需求现状，开展孔隙缺陷</w:t>
      </w:r>
      <w:r>
        <w:rPr>
          <w:rFonts w:hint="eastAsia" w:ascii="宋体" w:hAnsi="宋体" w:eastAsia="宋体" w:cs="宋体"/>
          <w:color w:val="000000"/>
          <w:sz w:val="24"/>
          <w:highlight w:val="none"/>
          <w:lang w:eastAsia="zh-CN"/>
        </w:rPr>
        <w:t>的</w:t>
      </w:r>
      <w:r>
        <w:rPr>
          <w:rFonts w:hint="eastAsia" w:ascii="宋体" w:hAnsi="宋体" w:eastAsia="宋体" w:cs="宋体"/>
          <w:color w:val="000000"/>
          <w:sz w:val="24"/>
          <w:highlight w:val="none"/>
        </w:rPr>
        <w:t>超声</w:t>
      </w:r>
      <w:r>
        <w:rPr>
          <w:rFonts w:hint="eastAsia" w:ascii="宋体" w:hAnsi="宋体" w:eastAsia="宋体" w:cs="宋体"/>
          <w:color w:val="000000"/>
          <w:sz w:val="24"/>
          <w:highlight w:val="none"/>
          <w:lang w:eastAsia="zh-CN"/>
        </w:rPr>
        <w:t>传播</w:t>
      </w:r>
      <w:r>
        <w:rPr>
          <w:rFonts w:hint="eastAsia" w:ascii="宋体" w:hAnsi="宋体" w:eastAsia="宋体" w:cs="宋体"/>
          <w:color w:val="000000"/>
          <w:sz w:val="24"/>
          <w:highlight w:val="none"/>
        </w:rPr>
        <w:t>仿真分析与空间分布表征技术研究，使用仿真技术</w:t>
      </w:r>
      <w:r>
        <w:rPr>
          <w:rFonts w:hint="eastAsia" w:ascii="宋体" w:hAnsi="宋体" w:eastAsia="宋体" w:cs="宋体"/>
          <w:color w:val="000000"/>
          <w:sz w:val="24"/>
          <w:highlight w:val="none"/>
          <w:lang w:val="en-US" w:eastAsia="zh-CN"/>
        </w:rPr>
        <w:t>减少或替代</w:t>
      </w:r>
      <w:r>
        <w:rPr>
          <w:rFonts w:hint="eastAsia" w:ascii="宋体" w:hAnsi="宋体" w:eastAsia="宋体" w:cs="宋体"/>
          <w:color w:val="000000"/>
          <w:sz w:val="24"/>
          <w:highlight w:val="none"/>
        </w:rPr>
        <w:t>孔隙率</w:t>
      </w:r>
      <w:r>
        <w:rPr>
          <w:rFonts w:hint="eastAsia" w:ascii="宋体" w:hAnsi="宋体" w:eastAsia="宋体" w:cs="宋体"/>
          <w:color w:val="000000"/>
          <w:sz w:val="24"/>
          <w:highlight w:val="none"/>
          <w:lang w:eastAsia="zh-CN"/>
        </w:rPr>
        <w:t>对比</w:t>
      </w:r>
      <w:r>
        <w:rPr>
          <w:rFonts w:hint="eastAsia" w:ascii="宋体" w:hAnsi="宋体" w:eastAsia="宋体" w:cs="宋体"/>
          <w:color w:val="000000"/>
          <w:sz w:val="24"/>
          <w:highlight w:val="none"/>
        </w:rPr>
        <w:t>试块实物制造，</w:t>
      </w:r>
      <w:r>
        <w:rPr>
          <w:rFonts w:hint="eastAsia" w:ascii="宋体" w:hAnsi="宋体" w:eastAsia="宋体" w:cs="宋体"/>
          <w:color w:val="000000"/>
          <w:sz w:val="24"/>
          <w:highlight w:val="none"/>
          <w:lang w:eastAsia="zh-CN"/>
        </w:rPr>
        <w:t>可以</w:t>
      </w:r>
      <w:r>
        <w:rPr>
          <w:rFonts w:hint="eastAsia" w:ascii="宋体" w:hAnsi="宋体" w:eastAsia="宋体" w:cs="宋体"/>
          <w:color w:val="000000"/>
          <w:sz w:val="24"/>
          <w:highlight w:val="none"/>
        </w:rPr>
        <w:t>大幅降低</w:t>
      </w:r>
      <w:r>
        <w:rPr>
          <w:rFonts w:hint="eastAsia" w:ascii="宋体" w:hAnsi="宋体" w:eastAsia="宋体" w:cs="宋体"/>
          <w:color w:val="000000"/>
          <w:sz w:val="24"/>
          <w:highlight w:val="none"/>
          <w:lang w:eastAsia="zh-CN"/>
        </w:rPr>
        <w:t>对比</w:t>
      </w:r>
      <w:r>
        <w:rPr>
          <w:rFonts w:hint="eastAsia" w:ascii="宋体" w:hAnsi="宋体" w:eastAsia="宋体" w:cs="宋体"/>
          <w:color w:val="000000"/>
          <w:sz w:val="24"/>
          <w:highlight w:val="none"/>
        </w:rPr>
        <w:t>试块研制成本，</w:t>
      </w:r>
      <w:r>
        <w:rPr>
          <w:rFonts w:hint="eastAsia" w:ascii="宋体" w:hAnsi="宋体" w:eastAsia="宋体" w:cs="宋体"/>
          <w:color w:val="000000"/>
          <w:sz w:val="24"/>
          <w:highlight w:val="none"/>
          <w:lang w:eastAsia="zh-CN"/>
        </w:rPr>
        <w:t>对于民机研制</w:t>
      </w:r>
      <w:r>
        <w:rPr>
          <w:rFonts w:hint="eastAsia" w:ascii="宋体" w:hAnsi="宋体" w:eastAsia="宋体" w:cs="宋体"/>
          <w:color w:val="000000"/>
          <w:sz w:val="24"/>
          <w:highlight w:val="none"/>
        </w:rPr>
        <w:t>具有较重要的理论意义和工程应用价值。</w:t>
      </w:r>
    </w:p>
    <w:p w14:paraId="2D68276E">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黑体" w:hAnsi="黑体" w:eastAsia="黑体" w:cs="黑体"/>
          <w:sz w:val="24"/>
          <w:szCs w:val="22"/>
          <w:highlight w:val="none"/>
        </w:rPr>
      </w:pPr>
      <w:r>
        <w:rPr>
          <w:rFonts w:hint="eastAsia" w:ascii="黑体" w:hAnsi="黑体" w:eastAsia="黑体" w:cs="黑体"/>
          <w:sz w:val="24"/>
          <w:szCs w:val="22"/>
          <w:highlight w:val="none"/>
        </w:rPr>
        <w:t>项目归属的重点专业领域</w:t>
      </w:r>
    </w:p>
    <w:p w14:paraId="4469B62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复材工艺</w:t>
      </w:r>
    </w:p>
    <w:p w14:paraId="26A4D7B8">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黑体" w:hAnsi="黑体" w:eastAsia="黑体" w:cs="黑体"/>
          <w:sz w:val="24"/>
          <w:szCs w:val="22"/>
          <w:highlight w:val="none"/>
        </w:rPr>
      </w:pPr>
      <w:r>
        <w:rPr>
          <w:rFonts w:hint="eastAsia" w:ascii="黑体" w:hAnsi="黑体" w:eastAsia="黑体" w:cs="黑体"/>
          <w:sz w:val="24"/>
          <w:szCs w:val="22"/>
          <w:highlight w:val="none"/>
        </w:rPr>
        <w:t>项目目标及技术指标</w:t>
      </w:r>
    </w:p>
    <w:p w14:paraId="4B945D3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highlight w:val="none"/>
        </w:rPr>
      </w:pPr>
      <w:r>
        <w:rPr>
          <w:rFonts w:hint="eastAsia" w:ascii="宋体" w:hAnsi="宋体" w:eastAsia="宋体" w:cs="宋体"/>
          <w:b/>
          <w:sz w:val="24"/>
          <w:highlight w:val="none"/>
        </w:rPr>
        <w:t>项目目标：</w:t>
      </w:r>
      <w:r>
        <w:rPr>
          <w:rFonts w:hint="eastAsia" w:ascii="宋体" w:hAnsi="宋体" w:eastAsia="宋体" w:cs="宋体"/>
          <w:color w:val="FF0000"/>
          <w:sz w:val="24"/>
          <w:highlight w:val="none"/>
        </w:rPr>
        <w:t xml:space="preserve"> </w:t>
      </w:r>
    </w:p>
    <w:p w14:paraId="3957973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针对碳纤维复合材料孔隙缺陷超声检测仿真手段缺失及空间分布表征能力不足问题，充分考虑复合材料的微观结构、孔隙形态及分布特征对超声多重散射规律的影响，建立精确的复合材料孔隙率超声检测仿真模型，揭示超声在含孔隙复合材料中的传播机制和散射规律，实现典型材料体系下超声检测信号与孔隙率及孔隙空间分布关系的定量评估。</w:t>
      </w:r>
    </w:p>
    <w:p w14:paraId="273AD9F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highlight w:val="none"/>
        </w:rPr>
      </w:pPr>
      <w:r>
        <w:rPr>
          <w:rFonts w:hint="eastAsia" w:ascii="宋体" w:hAnsi="宋体" w:eastAsia="宋体" w:cs="宋体"/>
          <w:b/>
          <w:sz w:val="24"/>
          <w:highlight w:val="none"/>
        </w:rPr>
        <w:t>技术指标：</w:t>
      </w:r>
    </w:p>
    <w:p w14:paraId="60C342C1">
      <w:pPr>
        <w:keepNext w:val="0"/>
        <w:keepLines w:val="0"/>
        <w:pageBreakBefore w:val="0"/>
        <w:numPr>
          <w:ilvl w:val="0"/>
          <w:numId w:val="5"/>
        </w:numPr>
        <w:kinsoku/>
        <w:wordWrap/>
        <w:overflowPunct/>
        <w:topLinePunct w:val="0"/>
        <w:autoSpaceDE/>
        <w:autoSpaceDN/>
        <w:bidi w:val="0"/>
        <w:adjustRightInd/>
        <w:snapToGrid/>
        <w:spacing w:line="240" w:lineRule="auto"/>
        <w:ind w:left="480" w:leftChars="200" w:hanging="284"/>
        <w:textAlignment w:val="auto"/>
        <w:rPr>
          <w:rFonts w:hint="eastAsia" w:ascii="宋体" w:hAnsi="宋体" w:eastAsia="宋体" w:cs="宋体"/>
          <w:bCs/>
          <w:sz w:val="24"/>
          <w:highlight w:val="none"/>
        </w:rPr>
      </w:pPr>
      <w:r>
        <w:rPr>
          <w:rFonts w:hint="eastAsia" w:ascii="宋体" w:hAnsi="宋体" w:eastAsia="宋体" w:cs="宋体"/>
          <w:bCs/>
          <w:sz w:val="24"/>
          <w:highlight w:val="none"/>
        </w:rPr>
        <w:t>建立考虑孔隙形状、尺寸、分布以及材料特性等因素的复合材料超声传播模型，模型可描述材料特性、孔隙率、孔隙形状及分布规律对超声波信号响应的影响，可对超声波在含孔隙复合材料中的传播过程进行仿真模拟。</w:t>
      </w:r>
    </w:p>
    <w:p w14:paraId="516A965E">
      <w:pPr>
        <w:keepNext w:val="0"/>
        <w:keepLines w:val="0"/>
        <w:pageBreakBefore w:val="0"/>
        <w:numPr>
          <w:ilvl w:val="0"/>
          <w:numId w:val="5"/>
        </w:numPr>
        <w:kinsoku/>
        <w:wordWrap/>
        <w:overflowPunct/>
        <w:topLinePunct w:val="0"/>
        <w:autoSpaceDE/>
        <w:autoSpaceDN/>
        <w:bidi w:val="0"/>
        <w:adjustRightInd/>
        <w:snapToGrid/>
        <w:spacing w:line="240" w:lineRule="auto"/>
        <w:ind w:left="480" w:leftChars="200" w:hanging="284"/>
        <w:textAlignment w:val="auto"/>
        <w:rPr>
          <w:rFonts w:hint="eastAsia" w:ascii="宋体" w:hAnsi="宋体" w:eastAsia="宋体" w:cs="宋体"/>
          <w:bCs/>
          <w:sz w:val="24"/>
          <w:highlight w:val="none"/>
        </w:rPr>
      </w:pPr>
      <w:r>
        <w:rPr>
          <w:rFonts w:hint="eastAsia" w:ascii="宋体" w:hAnsi="宋体" w:eastAsia="宋体" w:cs="宋体"/>
          <w:bCs/>
          <w:sz w:val="24"/>
          <w:highlight w:val="none"/>
        </w:rPr>
        <w:t>模型支持1.5mm-12mm厚度范围，0.5%-2%孔隙率范围，2.25MHz-5MHz超声频率范围内层压板试验件超声信号响应的仿真计算。</w:t>
      </w:r>
    </w:p>
    <w:p w14:paraId="443E4C07">
      <w:pPr>
        <w:keepNext w:val="0"/>
        <w:keepLines w:val="0"/>
        <w:pageBreakBefore w:val="0"/>
        <w:numPr>
          <w:ilvl w:val="0"/>
          <w:numId w:val="5"/>
        </w:numPr>
        <w:kinsoku/>
        <w:wordWrap/>
        <w:overflowPunct/>
        <w:topLinePunct w:val="0"/>
        <w:autoSpaceDE/>
        <w:autoSpaceDN/>
        <w:bidi w:val="0"/>
        <w:adjustRightInd/>
        <w:snapToGrid/>
        <w:spacing w:line="240" w:lineRule="auto"/>
        <w:ind w:left="480" w:leftChars="200" w:hanging="284"/>
        <w:textAlignment w:val="auto"/>
        <w:rPr>
          <w:rFonts w:hint="eastAsia" w:ascii="宋体" w:hAnsi="宋体" w:eastAsia="宋体" w:cs="宋体"/>
          <w:bCs/>
          <w:sz w:val="24"/>
          <w:highlight w:val="none"/>
        </w:rPr>
      </w:pPr>
      <w:r>
        <w:rPr>
          <w:rFonts w:hint="eastAsia" w:ascii="宋体" w:hAnsi="宋体" w:eastAsia="宋体" w:cs="宋体"/>
          <w:bCs/>
          <w:sz w:val="24"/>
          <w:highlight w:val="none"/>
        </w:rPr>
        <w:t>典型材料体系</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T300、T800）</w:t>
      </w:r>
      <w:r>
        <w:rPr>
          <w:rFonts w:hint="eastAsia" w:ascii="宋体" w:hAnsi="宋体" w:eastAsia="宋体" w:cs="宋体"/>
          <w:bCs/>
          <w:sz w:val="24"/>
          <w:highlight w:val="none"/>
        </w:rPr>
        <w:t>下</w:t>
      </w:r>
      <w:r>
        <w:rPr>
          <w:rFonts w:hint="eastAsia" w:ascii="宋体" w:hAnsi="宋体" w:eastAsia="宋体" w:cs="宋体"/>
          <w:bCs/>
          <w:sz w:val="24"/>
          <w:highlight w:val="none"/>
          <w:lang w:val="en-US" w:eastAsia="zh-CN"/>
        </w:rPr>
        <w:t>的100mm*80mm，含孔隙试样的超声平均衰减值的</w:t>
      </w:r>
      <w:r>
        <w:rPr>
          <w:rFonts w:hint="eastAsia" w:ascii="宋体" w:hAnsi="宋体" w:eastAsia="宋体" w:cs="宋体"/>
          <w:bCs/>
          <w:sz w:val="24"/>
          <w:highlight w:val="none"/>
        </w:rPr>
        <w:t>模型仿真结果与试验结果误差不大于15%。</w:t>
      </w:r>
    </w:p>
    <w:p w14:paraId="508ABCD0">
      <w:pPr>
        <w:keepNext w:val="0"/>
        <w:keepLines w:val="0"/>
        <w:pageBreakBefore w:val="0"/>
        <w:numPr>
          <w:ilvl w:val="0"/>
          <w:numId w:val="5"/>
        </w:numPr>
        <w:kinsoku/>
        <w:wordWrap/>
        <w:overflowPunct/>
        <w:topLinePunct w:val="0"/>
        <w:autoSpaceDE/>
        <w:autoSpaceDN/>
        <w:bidi w:val="0"/>
        <w:adjustRightInd/>
        <w:snapToGrid/>
        <w:spacing w:line="240" w:lineRule="auto"/>
        <w:ind w:left="480" w:leftChars="200" w:hanging="284"/>
        <w:textAlignment w:val="auto"/>
        <w:rPr>
          <w:rFonts w:hint="eastAsia" w:ascii="宋体" w:hAnsi="宋体" w:eastAsia="宋体" w:cs="宋体"/>
          <w:bCs/>
          <w:sz w:val="24"/>
          <w:highlight w:val="none"/>
        </w:rPr>
      </w:pPr>
      <w:r>
        <w:rPr>
          <w:rFonts w:hint="eastAsia" w:ascii="宋体" w:hAnsi="宋体" w:eastAsia="宋体" w:cs="宋体"/>
          <w:bCs/>
          <w:sz w:val="24"/>
          <w:highlight w:val="none"/>
        </w:rPr>
        <w:t>具备</w:t>
      </w:r>
      <w:r>
        <w:rPr>
          <w:rFonts w:hint="eastAsia" w:ascii="宋体" w:hAnsi="宋体" w:eastAsia="宋体" w:cs="宋体"/>
          <w:color w:val="000000"/>
          <w:sz w:val="24"/>
          <w:szCs w:val="32"/>
          <w:highlight w:val="none"/>
        </w:rPr>
        <w:t>碳</w:t>
      </w:r>
      <w:r>
        <w:rPr>
          <w:rFonts w:hint="eastAsia" w:ascii="宋体" w:hAnsi="宋体" w:eastAsia="宋体" w:cs="宋体"/>
          <w:bCs/>
          <w:sz w:val="24"/>
          <w:highlight w:val="none"/>
        </w:rPr>
        <w:t>纤维复合材料孔隙空间分布表征能力，可重建复合材料中孔隙密集区域。</w:t>
      </w:r>
    </w:p>
    <w:p w14:paraId="02B56775">
      <w:pPr>
        <w:keepNext w:val="0"/>
        <w:keepLines w:val="0"/>
        <w:pageBreakBefore w:val="0"/>
        <w:numPr>
          <w:ilvl w:val="0"/>
          <w:numId w:val="5"/>
        </w:numPr>
        <w:kinsoku/>
        <w:wordWrap/>
        <w:overflowPunct/>
        <w:topLinePunct w:val="0"/>
        <w:autoSpaceDE/>
        <w:autoSpaceDN/>
        <w:bidi w:val="0"/>
        <w:adjustRightInd/>
        <w:snapToGrid/>
        <w:spacing w:line="240" w:lineRule="auto"/>
        <w:ind w:left="480" w:leftChars="200" w:hanging="284"/>
        <w:textAlignment w:val="auto"/>
        <w:rPr>
          <w:rFonts w:ascii="Times New Roman" w:hAnsi="Times New Roman" w:eastAsia="仿宋_GB2312" w:cs="Times New Roman"/>
          <w:bCs/>
          <w:sz w:val="24"/>
          <w:highlight w:val="none"/>
        </w:rPr>
      </w:pPr>
      <w:r>
        <w:rPr>
          <w:rFonts w:hint="eastAsia" w:ascii="宋体" w:hAnsi="宋体" w:eastAsia="宋体" w:cs="宋体"/>
          <w:bCs/>
          <w:sz w:val="24"/>
          <w:highlight w:val="none"/>
        </w:rPr>
        <w:t>技术成熟度从TRL2级上升至TRL4级。</w:t>
      </w:r>
    </w:p>
    <w:p w14:paraId="195117D9">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黑体" w:hAnsi="黑体" w:eastAsia="黑体" w:cs="黑体"/>
          <w:sz w:val="24"/>
          <w:szCs w:val="22"/>
          <w:highlight w:val="none"/>
        </w:rPr>
      </w:pPr>
      <w:r>
        <w:rPr>
          <w:rFonts w:hint="eastAsia" w:ascii="黑体" w:hAnsi="黑体" w:eastAsia="黑体" w:cs="黑体"/>
          <w:sz w:val="24"/>
          <w:szCs w:val="22"/>
          <w:highlight w:val="none"/>
        </w:rPr>
        <w:t>主要研究内容</w:t>
      </w:r>
    </w:p>
    <w:p w14:paraId="46409454">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sz w:val="24"/>
          <w:szCs w:val="22"/>
          <w:highlight w:val="none"/>
        </w:rPr>
      </w:pPr>
      <w:r>
        <w:rPr>
          <w:rFonts w:hint="eastAsia" w:ascii="宋体" w:hAnsi="宋体" w:eastAsia="宋体" w:cs="宋体"/>
          <w:b/>
          <w:sz w:val="24"/>
          <w:szCs w:val="22"/>
          <w:highlight w:val="none"/>
        </w:rPr>
        <w:t>拟解决的关键技术</w:t>
      </w:r>
    </w:p>
    <w:p w14:paraId="7B70AC96">
      <w:pPr>
        <w:keepNext w:val="0"/>
        <w:keepLines w:val="0"/>
        <w:pageBreakBefore w:val="0"/>
        <w:widowControl/>
        <w:numPr>
          <w:ilvl w:val="0"/>
          <w:numId w:val="6"/>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rPr>
        <w:t xml:space="preserve"> 碳纤维复合材料超声传播理论基础研究​</w:t>
      </w:r>
    </w:p>
    <w:p w14:paraId="103D7044">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rPr>
        <w:t>研究超声波在复合材料中的传播理论，考虑复合材料的</w:t>
      </w:r>
      <w:r>
        <w:rPr>
          <w:rFonts w:hint="eastAsia" w:ascii="宋体" w:hAnsi="宋体" w:eastAsia="宋体" w:cs="宋体"/>
          <w:color w:val="000000"/>
          <w:sz w:val="24"/>
          <w:szCs w:val="32"/>
          <w:highlight w:val="none"/>
        </w:rPr>
        <w:t>碳</w:t>
      </w:r>
      <w:r>
        <w:rPr>
          <w:rFonts w:hint="eastAsia" w:ascii="宋体" w:hAnsi="宋体" w:eastAsia="宋体" w:cs="宋体"/>
          <w:bCs/>
          <w:sz w:val="24"/>
          <w:szCs w:val="22"/>
          <w:highlight w:val="none"/>
        </w:rPr>
        <w:t>纤维和树脂基体特性、各向异性、粘弹性以及孔隙的影响，建立适用于含孔隙复合材料的超声传播</w:t>
      </w:r>
      <w:r>
        <w:rPr>
          <w:rFonts w:hint="eastAsia" w:ascii="宋体" w:hAnsi="宋体" w:eastAsia="宋体" w:cs="宋体"/>
          <w:bCs/>
          <w:sz w:val="24"/>
          <w:szCs w:val="22"/>
          <w:highlight w:val="none"/>
          <w:lang w:val="en-US" w:eastAsia="zh-CN"/>
        </w:rPr>
        <w:t>模型</w:t>
      </w:r>
      <w:r>
        <w:rPr>
          <w:rFonts w:hint="eastAsia" w:ascii="宋体" w:hAnsi="宋体" w:eastAsia="宋体" w:cs="宋体"/>
          <w:bCs/>
          <w:sz w:val="24"/>
          <w:szCs w:val="22"/>
          <w:highlight w:val="none"/>
        </w:rPr>
        <w:t>。分析不同类型孔隙（如球形、椭球形、不规则形等）对超声波传播特性的影响机制，为后续的数值模拟和实验研究奠定理论基础。</w:t>
      </w:r>
    </w:p>
    <w:p w14:paraId="1E228C14">
      <w:pPr>
        <w:keepNext w:val="0"/>
        <w:keepLines w:val="0"/>
        <w:pageBreakBefore w:val="0"/>
        <w:widowControl/>
        <w:numPr>
          <w:ilvl w:val="0"/>
          <w:numId w:val="6"/>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rPr>
        <w:t>含孔隙缺陷碳纤维复合材料微观结构模型建立及超声数值模拟方法研究</w:t>
      </w:r>
    </w:p>
    <w:p w14:paraId="423E83A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lang w:val="en-US" w:eastAsia="zh-CN"/>
        </w:rPr>
        <w:t>深入研究碳纤维复合材料的微观结构特征，包括纤维分布、基体特性以及纤维与基体的界面情况。借助金相分析技术或工业CT技术，综合考虑孔隙的形状、大小、数量和分布的随机性，运用统计学方法、图像处理等技术，建立能真实反映实际孔隙情况的复合材料微观分布结构模型。</w:t>
      </w:r>
    </w:p>
    <w:p w14:paraId="0F51D66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lang w:val="en-US" w:eastAsia="zh-CN"/>
        </w:rPr>
        <w:t>基于特定材料体系孔隙率对比试块，对</w:t>
      </w:r>
      <w:r>
        <w:rPr>
          <w:rFonts w:hint="eastAsia" w:ascii="宋体" w:hAnsi="宋体" w:eastAsia="宋体" w:cs="宋体"/>
          <w:bCs/>
          <w:sz w:val="24"/>
          <w:szCs w:val="22"/>
          <w:highlight w:val="none"/>
        </w:rPr>
        <w:t>超声波在含孔隙复合材料中的传播过程进行数值模拟，分析超声信号在复合材料中的传播路径及多重散射情况</w:t>
      </w:r>
      <w:r>
        <w:rPr>
          <w:rFonts w:hint="eastAsia" w:ascii="宋体" w:hAnsi="宋体" w:eastAsia="宋体" w:cs="宋体"/>
          <w:bCs/>
          <w:sz w:val="24"/>
          <w:szCs w:val="22"/>
          <w:highlight w:val="none"/>
          <w:lang w:eastAsia="zh-CN"/>
        </w:rPr>
        <w:t>，</w:t>
      </w:r>
      <w:r>
        <w:rPr>
          <w:rFonts w:hint="eastAsia" w:ascii="宋体" w:hAnsi="宋体" w:eastAsia="宋体" w:cs="宋体"/>
          <w:bCs/>
          <w:sz w:val="24"/>
          <w:szCs w:val="22"/>
          <w:highlight w:val="none"/>
          <w:lang w:val="en-US" w:eastAsia="zh-CN"/>
        </w:rPr>
        <w:t>验证不同孔隙率及空间分布下的超声仿真模型的适应性</w:t>
      </w:r>
      <w:r>
        <w:rPr>
          <w:rFonts w:hint="eastAsia" w:ascii="宋体" w:hAnsi="宋体" w:eastAsia="宋体" w:cs="宋体"/>
          <w:bCs/>
          <w:sz w:val="24"/>
          <w:szCs w:val="22"/>
          <w:highlight w:val="none"/>
        </w:rPr>
        <w:t>。</w:t>
      </w:r>
    </w:p>
    <w:p w14:paraId="2DEC34C9">
      <w:pPr>
        <w:keepNext w:val="0"/>
        <w:keepLines w:val="0"/>
        <w:pageBreakBefore w:val="0"/>
        <w:widowControl/>
        <w:numPr>
          <w:ilvl w:val="0"/>
          <w:numId w:val="6"/>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 xml:space="preserve"> 碳纤维复合材料孔隙空间分布表征技术研究</w:t>
      </w:r>
    </w:p>
    <w:p w14:paraId="3C576C0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000000"/>
          <w:sz w:val="24"/>
          <w:szCs w:val="32"/>
          <w:highlight w:val="none"/>
        </w:rPr>
      </w:pPr>
      <w:r>
        <w:rPr>
          <w:rFonts w:hint="eastAsia" w:ascii="宋体" w:hAnsi="宋体" w:eastAsia="宋体" w:cs="宋体"/>
          <w:bCs/>
          <w:sz w:val="24"/>
          <w:szCs w:val="22"/>
          <w:highlight w:val="none"/>
        </w:rPr>
        <w:t>研究孔隙空间随机分布的不确定性建模及量化方法，分析</w:t>
      </w:r>
      <w:r>
        <w:rPr>
          <w:rFonts w:hint="eastAsia" w:ascii="宋体" w:hAnsi="宋体" w:eastAsia="宋体" w:cs="宋体"/>
          <w:color w:val="000000"/>
          <w:sz w:val="24"/>
          <w:szCs w:val="32"/>
          <w:highlight w:val="none"/>
        </w:rPr>
        <w:t>碳纤维类型、厚度、孔隙率等因素对孔隙空间随机分布的影响机制</w:t>
      </w:r>
      <w:r>
        <w:rPr>
          <w:rFonts w:hint="eastAsia" w:ascii="宋体" w:hAnsi="宋体" w:eastAsia="宋体" w:cs="宋体"/>
          <w:color w:val="000000"/>
          <w:sz w:val="24"/>
          <w:szCs w:val="32"/>
          <w:highlight w:val="none"/>
          <w:lang w:eastAsia="zh-CN"/>
        </w:rPr>
        <w:t>，</w:t>
      </w:r>
      <w:r>
        <w:rPr>
          <w:rFonts w:hint="eastAsia" w:ascii="宋体" w:hAnsi="宋体" w:eastAsia="宋体" w:cs="宋体"/>
          <w:bCs/>
          <w:sz w:val="24"/>
          <w:szCs w:val="22"/>
          <w:highlight w:val="none"/>
        </w:rPr>
        <w:t>建立</w:t>
      </w:r>
      <w:r>
        <w:rPr>
          <w:rFonts w:hint="eastAsia" w:ascii="宋体" w:hAnsi="宋体" w:eastAsia="宋体" w:cs="宋体"/>
          <w:color w:val="000000"/>
          <w:sz w:val="24"/>
          <w:szCs w:val="32"/>
          <w:highlight w:val="none"/>
        </w:rPr>
        <w:t>碳</w:t>
      </w:r>
      <w:r>
        <w:rPr>
          <w:rFonts w:hint="eastAsia" w:ascii="宋体" w:hAnsi="宋体" w:eastAsia="宋体" w:cs="宋体"/>
          <w:bCs/>
          <w:sz w:val="24"/>
          <w:szCs w:val="22"/>
          <w:highlight w:val="none"/>
        </w:rPr>
        <w:t>纤维复合材料孔隙空间</w:t>
      </w:r>
      <w:r>
        <w:rPr>
          <w:rFonts w:hint="eastAsia" w:ascii="宋体" w:hAnsi="宋体" w:eastAsia="宋体" w:cs="宋体"/>
          <w:bCs/>
          <w:sz w:val="24"/>
          <w:szCs w:val="22"/>
          <w:highlight w:val="none"/>
          <w:lang w:val="en-US" w:eastAsia="zh-CN"/>
        </w:rPr>
        <w:t>分布表征技术及相应模型，并对多种</w:t>
      </w:r>
      <w:r>
        <w:rPr>
          <w:rFonts w:hint="eastAsia" w:ascii="宋体" w:hAnsi="宋体" w:eastAsia="宋体" w:cs="宋体"/>
          <w:bCs/>
          <w:sz w:val="24"/>
          <w:szCs w:val="22"/>
          <w:highlight w:val="none"/>
        </w:rPr>
        <w:t>复合材料</w:t>
      </w:r>
      <w:r>
        <w:rPr>
          <w:rFonts w:hint="eastAsia" w:ascii="宋体" w:hAnsi="宋体" w:eastAsia="宋体" w:cs="宋体"/>
          <w:bCs/>
          <w:sz w:val="24"/>
          <w:szCs w:val="22"/>
          <w:highlight w:val="none"/>
          <w:lang w:val="en-US" w:eastAsia="zh-CN"/>
        </w:rPr>
        <w:t>体系的</w:t>
      </w:r>
      <w:r>
        <w:rPr>
          <w:rFonts w:hint="eastAsia" w:ascii="宋体" w:hAnsi="宋体" w:eastAsia="宋体" w:cs="宋体"/>
          <w:bCs/>
          <w:sz w:val="24"/>
          <w:szCs w:val="22"/>
          <w:highlight w:val="none"/>
        </w:rPr>
        <w:t>孔隙空间分布</w:t>
      </w:r>
      <w:r>
        <w:rPr>
          <w:rFonts w:hint="eastAsia" w:ascii="宋体" w:hAnsi="宋体" w:eastAsia="宋体" w:cs="宋体"/>
          <w:bCs/>
          <w:sz w:val="24"/>
          <w:szCs w:val="22"/>
          <w:highlight w:val="none"/>
          <w:lang w:val="en-US" w:eastAsia="zh-CN"/>
        </w:rPr>
        <w:t>进行验证</w:t>
      </w:r>
      <w:r>
        <w:rPr>
          <w:rFonts w:hint="eastAsia" w:ascii="宋体" w:hAnsi="宋体" w:eastAsia="宋体" w:cs="宋体"/>
          <w:bCs/>
          <w:sz w:val="24"/>
          <w:szCs w:val="22"/>
          <w:highlight w:val="none"/>
        </w:rPr>
        <w:t>。</w:t>
      </w:r>
    </w:p>
    <w:p w14:paraId="3D69C829">
      <w:pPr>
        <w:keepNext w:val="0"/>
        <w:keepLines w:val="0"/>
        <w:pageBreakBefore w:val="0"/>
        <w:widowControl/>
        <w:numPr>
          <w:ilvl w:val="0"/>
          <w:numId w:val="6"/>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color w:val="000000"/>
          <w:sz w:val="24"/>
          <w:szCs w:val="32"/>
          <w:highlight w:val="none"/>
        </w:rPr>
      </w:pPr>
      <w:r>
        <w:rPr>
          <w:rFonts w:hint="eastAsia" w:ascii="宋体" w:hAnsi="宋体" w:eastAsia="宋体" w:cs="宋体"/>
          <w:color w:val="000000"/>
          <w:sz w:val="24"/>
          <w:szCs w:val="32"/>
          <w:highlight w:val="none"/>
        </w:rPr>
        <w:t>含孔隙缺陷碳纤维复合材料超声检测仿真模型验证与应用​</w:t>
      </w:r>
    </w:p>
    <w:p w14:paraId="3F80E16D">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rPr>
        <w:t>根据典型孔隙率和孔隙分布特征的</w:t>
      </w:r>
      <w:r>
        <w:rPr>
          <w:rFonts w:hint="eastAsia" w:ascii="宋体" w:hAnsi="宋体" w:eastAsia="宋体" w:cs="宋体"/>
          <w:color w:val="000000"/>
          <w:sz w:val="24"/>
          <w:szCs w:val="32"/>
          <w:highlight w:val="none"/>
          <w:lang w:val="en-US" w:eastAsia="zh-CN"/>
        </w:rPr>
        <w:t>小样本</w:t>
      </w:r>
      <w:r>
        <w:rPr>
          <w:rFonts w:hint="eastAsia" w:ascii="宋体" w:hAnsi="宋体" w:eastAsia="宋体" w:cs="宋体"/>
          <w:bCs/>
          <w:sz w:val="24"/>
          <w:szCs w:val="22"/>
          <w:highlight w:val="none"/>
        </w:rPr>
        <w:t>，</w:t>
      </w:r>
      <w:r>
        <w:rPr>
          <w:rFonts w:hint="eastAsia" w:ascii="宋体" w:hAnsi="宋体" w:eastAsia="宋体" w:cs="宋体"/>
          <w:bCs/>
          <w:sz w:val="24"/>
          <w:szCs w:val="22"/>
          <w:highlight w:val="none"/>
          <w:lang w:val="en-US" w:eastAsia="zh-CN"/>
        </w:rPr>
        <w:t>预测各种厚度、各种级差孔隙率下的孔隙空间分布</w:t>
      </w:r>
      <w:r>
        <w:rPr>
          <w:rFonts w:hint="eastAsia" w:ascii="宋体" w:hAnsi="宋体" w:eastAsia="宋体" w:cs="宋体"/>
          <w:bCs/>
          <w:sz w:val="24"/>
          <w:szCs w:val="22"/>
          <w:highlight w:val="none"/>
        </w:rPr>
        <w:t>，验证</w:t>
      </w:r>
      <w:r>
        <w:rPr>
          <w:rFonts w:hint="eastAsia" w:ascii="宋体" w:hAnsi="宋体" w:eastAsia="宋体" w:cs="宋体"/>
          <w:bCs/>
          <w:sz w:val="24"/>
          <w:szCs w:val="22"/>
          <w:highlight w:val="none"/>
          <w:lang w:val="en-US" w:eastAsia="zh-CN"/>
        </w:rPr>
        <w:t>空间分布模型</w:t>
      </w:r>
      <w:r>
        <w:rPr>
          <w:rFonts w:hint="eastAsia" w:ascii="宋体" w:hAnsi="宋体" w:eastAsia="宋体" w:cs="宋体"/>
          <w:bCs/>
          <w:sz w:val="24"/>
          <w:szCs w:val="22"/>
          <w:highlight w:val="none"/>
        </w:rPr>
        <w:t>的有效性</w:t>
      </w:r>
      <w:r>
        <w:rPr>
          <w:rFonts w:hint="eastAsia" w:ascii="宋体" w:hAnsi="宋体" w:eastAsia="宋体" w:cs="宋体"/>
          <w:bCs/>
          <w:sz w:val="24"/>
          <w:szCs w:val="22"/>
          <w:highlight w:val="none"/>
          <w:lang w:eastAsia="zh-CN"/>
        </w:rPr>
        <w:t>。</w:t>
      </w:r>
      <w:r>
        <w:rPr>
          <w:rFonts w:hint="eastAsia" w:ascii="宋体" w:hAnsi="宋体" w:eastAsia="宋体" w:cs="宋体"/>
          <w:bCs/>
          <w:sz w:val="24"/>
          <w:szCs w:val="22"/>
          <w:highlight w:val="none"/>
        </w:rPr>
        <w:t>同时</w:t>
      </w:r>
      <w:r>
        <w:rPr>
          <w:rFonts w:hint="eastAsia" w:ascii="宋体" w:hAnsi="宋体" w:eastAsia="宋体" w:cs="宋体"/>
          <w:bCs/>
          <w:sz w:val="24"/>
          <w:szCs w:val="22"/>
          <w:highlight w:val="none"/>
          <w:lang w:val="en-US" w:eastAsia="zh-CN"/>
        </w:rPr>
        <w:t>将</w:t>
      </w:r>
      <w:r>
        <w:rPr>
          <w:rFonts w:hint="eastAsia" w:ascii="宋体" w:hAnsi="宋体" w:eastAsia="宋体" w:cs="宋体"/>
          <w:bCs/>
          <w:sz w:val="24"/>
          <w:szCs w:val="22"/>
          <w:highlight w:val="none"/>
        </w:rPr>
        <w:t>采集的超声检测信号与数值模拟结果进行对比分析，验证</w:t>
      </w:r>
      <w:r>
        <w:rPr>
          <w:rFonts w:hint="eastAsia" w:ascii="宋体" w:hAnsi="宋体" w:eastAsia="宋体" w:cs="宋体"/>
          <w:bCs/>
          <w:sz w:val="24"/>
          <w:szCs w:val="22"/>
          <w:highlight w:val="none"/>
          <w:lang w:val="en-US" w:eastAsia="zh-CN"/>
        </w:rPr>
        <w:t>超声</w:t>
      </w:r>
      <w:r>
        <w:rPr>
          <w:rFonts w:hint="eastAsia" w:ascii="宋体" w:hAnsi="宋体" w:eastAsia="宋体" w:cs="宋体"/>
          <w:bCs/>
          <w:sz w:val="24"/>
          <w:szCs w:val="22"/>
          <w:highlight w:val="none"/>
        </w:rPr>
        <w:t>仿真模型的准确性和可靠性。</w:t>
      </w:r>
    </w:p>
    <w:p w14:paraId="5E99230E">
      <w:pPr>
        <w:keepNext w:val="0"/>
        <w:keepLines w:val="0"/>
        <w:pageBreakBefore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sz w:val="24"/>
          <w:szCs w:val="22"/>
          <w:highlight w:val="none"/>
        </w:rPr>
      </w:pPr>
      <w:r>
        <w:rPr>
          <w:rFonts w:hint="eastAsia" w:ascii="宋体" w:hAnsi="宋体" w:eastAsia="宋体" w:cs="宋体"/>
          <w:b/>
          <w:sz w:val="24"/>
          <w:szCs w:val="22"/>
          <w:highlight w:val="none"/>
        </w:rPr>
        <w:t>研究结果的验证方式</w:t>
      </w:r>
    </w:p>
    <w:p w14:paraId="0E976F5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szCs w:val="22"/>
          <w:highlight w:val="none"/>
        </w:rPr>
      </w:pPr>
      <w:r>
        <w:rPr>
          <w:rFonts w:hint="eastAsia" w:ascii="宋体" w:hAnsi="宋体" w:eastAsia="宋体" w:cs="宋体"/>
          <w:bCs/>
          <w:sz w:val="24"/>
          <w:szCs w:val="22"/>
          <w:highlight w:val="none"/>
        </w:rPr>
        <w:t>报告。</w:t>
      </w:r>
    </w:p>
    <w:p w14:paraId="73032BDB">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黑体" w:hAnsi="黑体" w:eastAsia="黑体" w:cs="黑体"/>
          <w:sz w:val="24"/>
          <w:szCs w:val="22"/>
          <w:highlight w:val="none"/>
        </w:rPr>
      </w:pPr>
      <w:r>
        <w:rPr>
          <w:rFonts w:hint="eastAsia" w:ascii="黑体" w:hAnsi="黑体" w:eastAsia="黑体" w:cs="黑体"/>
          <w:sz w:val="24"/>
          <w:szCs w:val="22"/>
          <w:highlight w:val="none"/>
        </w:rPr>
        <w:t>预期成果</w:t>
      </w:r>
    </w:p>
    <w:p w14:paraId="017B9E74">
      <w:pPr>
        <w:keepNext w:val="0"/>
        <w:keepLines w:val="0"/>
        <w:pageBreakBefore w:val="0"/>
        <w:widowControl/>
        <w:numPr>
          <w:ilvl w:val="0"/>
          <w:numId w:val="7"/>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rPr>
        <w:t>含孔隙</w:t>
      </w:r>
      <w:r>
        <w:rPr>
          <w:rFonts w:hint="eastAsia" w:ascii="宋体" w:hAnsi="宋体" w:eastAsia="宋体" w:cs="宋体"/>
          <w:color w:val="000000"/>
          <w:sz w:val="24"/>
          <w:szCs w:val="32"/>
          <w:highlight w:val="none"/>
        </w:rPr>
        <w:t>碳</w:t>
      </w:r>
      <w:r>
        <w:rPr>
          <w:rFonts w:hint="eastAsia" w:ascii="宋体" w:hAnsi="宋体" w:eastAsia="宋体" w:cs="宋体"/>
          <w:bCs/>
          <w:sz w:val="24"/>
          <w:highlight w:val="none"/>
        </w:rPr>
        <w:t>纤维复合材料超声检测仿真计算模型1套</w:t>
      </w:r>
      <w:r>
        <w:rPr>
          <w:rFonts w:hint="eastAsia" w:ascii="宋体" w:hAnsi="宋体" w:eastAsia="宋体" w:cs="宋体"/>
          <w:bCs/>
          <w:sz w:val="24"/>
          <w:highlight w:val="none"/>
          <w:lang w:eastAsia="zh-CN"/>
        </w:rPr>
        <w:t>；</w:t>
      </w:r>
    </w:p>
    <w:p w14:paraId="62237AE4">
      <w:pPr>
        <w:keepNext w:val="0"/>
        <w:keepLines w:val="0"/>
        <w:pageBreakBefore w:val="0"/>
        <w:widowControl/>
        <w:numPr>
          <w:ilvl w:val="0"/>
          <w:numId w:val="7"/>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rPr>
        <w:t>含孔隙</w:t>
      </w:r>
      <w:r>
        <w:rPr>
          <w:rFonts w:hint="eastAsia" w:ascii="宋体" w:hAnsi="宋体" w:eastAsia="宋体" w:cs="宋体"/>
          <w:color w:val="000000"/>
          <w:sz w:val="24"/>
          <w:szCs w:val="32"/>
          <w:highlight w:val="none"/>
        </w:rPr>
        <w:t>碳</w:t>
      </w:r>
      <w:r>
        <w:rPr>
          <w:rFonts w:hint="eastAsia" w:ascii="宋体" w:hAnsi="宋体" w:eastAsia="宋体" w:cs="宋体"/>
          <w:bCs/>
          <w:sz w:val="24"/>
          <w:highlight w:val="none"/>
        </w:rPr>
        <w:t>纤维复合材料超声检测仿真研究报告1份；</w:t>
      </w:r>
    </w:p>
    <w:p w14:paraId="20CFA553">
      <w:pPr>
        <w:keepNext w:val="0"/>
        <w:keepLines w:val="0"/>
        <w:pageBreakBefore w:val="0"/>
        <w:widowControl/>
        <w:numPr>
          <w:ilvl w:val="0"/>
          <w:numId w:val="7"/>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lang w:eastAsia="zh-CN"/>
        </w:rPr>
        <w:t>超声在含孔隙复合材料中的传播机制和散射规律研究报告</w:t>
      </w:r>
      <w:r>
        <w:rPr>
          <w:rFonts w:hint="eastAsia" w:ascii="宋体" w:hAnsi="宋体" w:eastAsia="宋体" w:cs="宋体"/>
          <w:bCs/>
          <w:sz w:val="24"/>
          <w:highlight w:val="none"/>
          <w:lang w:val="en-US" w:eastAsia="zh-CN"/>
        </w:rPr>
        <w:t>1份</w:t>
      </w:r>
      <w:r>
        <w:rPr>
          <w:rFonts w:hint="eastAsia" w:ascii="宋体" w:hAnsi="宋体" w:eastAsia="宋体" w:cs="宋体"/>
          <w:bCs/>
          <w:sz w:val="24"/>
          <w:highlight w:val="none"/>
          <w:lang w:eastAsia="zh-CN"/>
        </w:rPr>
        <w:t>；</w:t>
      </w:r>
    </w:p>
    <w:p w14:paraId="2B0A4AEC">
      <w:pPr>
        <w:keepNext w:val="0"/>
        <w:keepLines w:val="0"/>
        <w:pageBreakBefore w:val="0"/>
        <w:widowControl/>
        <w:numPr>
          <w:ilvl w:val="0"/>
          <w:numId w:val="7"/>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rPr>
        <w:t>含孔隙</w:t>
      </w:r>
      <w:r>
        <w:rPr>
          <w:rFonts w:hint="eastAsia" w:ascii="宋体" w:hAnsi="宋体" w:eastAsia="宋体" w:cs="宋体"/>
          <w:color w:val="000000"/>
          <w:sz w:val="24"/>
          <w:szCs w:val="32"/>
          <w:highlight w:val="none"/>
        </w:rPr>
        <w:t>碳</w:t>
      </w:r>
      <w:r>
        <w:rPr>
          <w:rFonts w:hint="eastAsia" w:ascii="宋体" w:hAnsi="宋体" w:eastAsia="宋体" w:cs="宋体"/>
          <w:bCs/>
          <w:sz w:val="24"/>
          <w:highlight w:val="none"/>
        </w:rPr>
        <w:t>纤维复合材料声学仿真与试验结果对比验证报告1份；</w:t>
      </w:r>
    </w:p>
    <w:p w14:paraId="06AA8C01">
      <w:pPr>
        <w:keepNext w:val="0"/>
        <w:keepLines w:val="0"/>
        <w:pageBreakBefore w:val="0"/>
        <w:widowControl/>
        <w:numPr>
          <w:ilvl w:val="0"/>
          <w:numId w:val="7"/>
        </w:numPr>
        <w:kinsoku/>
        <w:wordWrap/>
        <w:overflowPunct/>
        <w:topLinePunct w:val="0"/>
        <w:autoSpaceDE/>
        <w:autoSpaceDN/>
        <w:bidi w:val="0"/>
        <w:adjustRightInd/>
        <w:snapToGrid/>
        <w:spacing w:line="240" w:lineRule="auto"/>
        <w:ind w:left="600" w:leftChars="200" w:hanging="120" w:hangingChars="50"/>
        <w:textAlignment w:val="auto"/>
        <w:rPr>
          <w:rFonts w:hint="eastAsia" w:ascii="宋体" w:hAnsi="宋体" w:eastAsia="宋体" w:cs="宋体"/>
          <w:bCs/>
          <w:sz w:val="24"/>
          <w:highlight w:val="none"/>
        </w:rPr>
      </w:pPr>
      <w:r>
        <w:rPr>
          <w:rFonts w:hint="eastAsia" w:ascii="宋体" w:hAnsi="宋体" w:eastAsia="宋体" w:cs="宋体"/>
          <w:bCs/>
          <w:sz w:val="24"/>
          <w:highlight w:val="none"/>
        </w:rPr>
        <w:t>发表SCI论文2篇，申请专利1项。</w:t>
      </w:r>
    </w:p>
    <w:p w14:paraId="6431FD5C">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仿宋_GB2312" w:hAnsi="宋体" w:eastAsia="仿宋_GB2312"/>
          <w:b/>
          <w:sz w:val="24"/>
          <w:highlight w:val="none"/>
        </w:rPr>
      </w:pPr>
      <w:r>
        <w:rPr>
          <w:rFonts w:hint="eastAsia" w:ascii="黑体" w:hAnsi="黑体" w:eastAsia="黑体" w:cs="黑体"/>
          <w:sz w:val="24"/>
          <w:szCs w:val="22"/>
          <w:highlight w:val="none"/>
        </w:rPr>
        <w:t>建议研究周期和启动时间</w:t>
      </w:r>
    </w:p>
    <w:p w14:paraId="1D35F3E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24个月。</w:t>
      </w:r>
    </w:p>
    <w:p w14:paraId="771466C2">
      <w:pPr>
        <w:keepNext w:val="0"/>
        <w:keepLines w:val="0"/>
        <w:pageBreakBefore w:val="0"/>
        <w:numPr>
          <w:ilvl w:val="0"/>
          <w:numId w:val="4"/>
        </w:numPr>
        <w:kinsoku/>
        <w:wordWrap/>
        <w:overflowPunct/>
        <w:topLinePunct w:val="0"/>
        <w:autoSpaceDE/>
        <w:autoSpaceDN/>
        <w:bidi w:val="0"/>
        <w:adjustRightInd/>
        <w:snapToGrid/>
        <w:spacing w:line="240" w:lineRule="auto"/>
        <w:ind w:left="5" w:leftChars="0"/>
        <w:textAlignment w:val="auto"/>
        <w:rPr>
          <w:rFonts w:hint="eastAsia" w:ascii="黑体" w:hAnsi="黑体" w:eastAsia="黑体" w:cs="黑体"/>
          <w:sz w:val="24"/>
          <w:szCs w:val="22"/>
          <w:highlight w:val="none"/>
        </w:rPr>
      </w:pPr>
      <w:r>
        <w:rPr>
          <w:rFonts w:hint="eastAsia" w:ascii="黑体" w:hAnsi="黑体" w:eastAsia="黑体" w:cs="黑体"/>
          <w:sz w:val="24"/>
          <w:szCs w:val="22"/>
          <w:highlight w:val="none"/>
        </w:rPr>
        <w:t>所需研究经费</w:t>
      </w:r>
    </w:p>
    <w:p w14:paraId="0B2FA35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50万元。</w:t>
      </w:r>
    </w:p>
    <w:p w14:paraId="52815434">
      <w:pPr>
        <w:pStyle w:val="8"/>
        <w:pageBreakBefore w:val="0"/>
        <w:kinsoku/>
        <w:wordWrap/>
        <w:topLinePunct w:val="0"/>
        <w:autoSpaceDE/>
        <w:autoSpaceDN/>
        <w:bidi w:val="0"/>
        <w:spacing w:line="240" w:lineRule="auto"/>
        <w:rPr>
          <w:rFonts w:hint="eastAsia"/>
          <w:highlight w:val="none"/>
          <w:lang w:val="en-US" w:eastAsia="zh-CN"/>
        </w:rPr>
      </w:pPr>
    </w:p>
    <w:p w14:paraId="043C6D5A">
      <w:pPr>
        <w:pStyle w:val="8"/>
        <w:pageBreakBefore w:val="0"/>
        <w:kinsoku/>
        <w:wordWrap/>
        <w:topLinePunct w:val="0"/>
        <w:autoSpaceDE/>
        <w:autoSpaceDN/>
        <w:bidi w:val="0"/>
        <w:spacing w:line="240" w:lineRule="auto"/>
        <w:rPr>
          <w:rFonts w:hint="eastAsia"/>
          <w:highlight w:val="none"/>
          <w:lang w:val="en-US" w:eastAsia="zh-CN"/>
        </w:rPr>
      </w:pPr>
    </w:p>
    <w:p w14:paraId="1C0EC52F">
      <w:pPr>
        <w:pStyle w:val="8"/>
        <w:pageBreakBefore w:val="0"/>
        <w:kinsoku/>
        <w:wordWrap/>
        <w:topLinePunct w:val="0"/>
        <w:autoSpaceDE/>
        <w:autoSpaceDN/>
        <w:bidi w:val="0"/>
        <w:spacing w:line="240" w:lineRule="auto"/>
        <w:rPr>
          <w:rFonts w:hint="eastAsia"/>
          <w:highlight w:val="none"/>
          <w:lang w:val="en-US" w:eastAsia="zh-CN"/>
        </w:rPr>
        <w:sectPr>
          <w:footerReference r:id="rId6" w:type="default"/>
          <w:pgSz w:w="11906" w:h="16838"/>
          <w:pgMar w:top="1440" w:right="1800" w:bottom="1440" w:left="1800" w:header="851" w:footer="992" w:gutter="0"/>
          <w:pgNumType w:start="1"/>
          <w:cols w:space="425" w:num="1"/>
          <w:docGrid w:type="lines" w:linePitch="312" w:charSpace="0"/>
        </w:sectPr>
      </w:pPr>
    </w:p>
    <w:p w14:paraId="1C542E00">
      <w:pPr>
        <w:pStyle w:val="2"/>
        <w:pageBreakBefore w:val="0"/>
        <w:kinsoku/>
        <w:wordWrap/>
        <w:topLinePunct w:val="0"/>
        <w:autoSpaceDE/>
        <w:autoSpaceDN/>
        <w:bidi w:val="0"/>
        <w:spacing w:line="240" w:lineRule="auto"/>
        <w:rPr>
          <w:rFonts w:hint="eastAsia" w:eastAsia="宋体"/>
          <w:highlight w:val="none"/>
          <w:lang w:val="en-US" w:eastAsia="zh-CN"/>
        </w:rPr>
      </w:pPr>
      <w:bookmarkStart w:id="1" w:name="_Toc18436"/>
      <w:r>
        <w:rPr>
          <w:rFonts w:hint="eastAsia" w:eastAsia="宋体"/>
          <w:highlight w:val="none"/>
          <w:lang w:val="en-US" w:eastAsia="zh-CN"/>
        </w:rPr>
        <w:t>基于数据驱动的热压罐固化过程建模与工艺优化技术</w:t>
      </w:r>
      <w:bookmarkEnd w:id="1"/>
    </w:p>
    <w:p w14:paraId="0F26A9FD">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6DF0A60E">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highlight w:val="none"/>
        </w:rPr>
        <w:t>复合材料因其优异的性能特点在航空航天领域已得到广泛应用，热压罐固化</w:t>
      </w:r>
      <w:r>
        <w:rPr>
          <w:rFonts w:hint="eastAsia" w:ascii="宋体" w:hAnsi="宋体" w:eastAsia="宋体" w:cs="宋体"/>
          <w:color w:val="000000"/>
          <w:sz w:val="24"/>
          <w:highlight w:val="none"/>
          <w:lang w:val="en-US" w:eastAsia="zh-CN"/>
        </w:rPr>
        <w:t>过程</w:t>
      </w:r>
      <w:r>
        <w:rPr>
          <w:rFonts w:hint="eastAsia" w:ascii="宋体" w:hAnsi="宋体" w:eastAsia="宋体" w:cs="宋体"/>
          <w:color w:val="000000"/>
          <w:sz w:val="24"/>
          <w:highlight w:val="none"/>
        </w:rPr>
        <w:t>作为复材产品</w:t>
      </w:r>
      <w:r>
        <w:rPr>
          <w:rFonts w:hint="eastAsia" w:ascii="宋体" w:hAnsi="宋体" w:eastAsia="宋体" w:cs="宋体"/>
          <w:color w:val="000000"/>
          <w:sz w:val="24"/>
          <w:highlight w:val="none"/>
          <w:lang w:val="en-US" w:eastAsia="zh-CN"/>
        </w:rPr>
        <w:t>成型的关键工序</w:t>
      </w:r>
      <w:r>
        <w:rPr>
          <w:rFonts w:hint="eastAsia" w:ascii="宋体" w:hAnsi="宋体" w:eastAsia="宋体" w:cs="宋体"/>
          <w:color w:val="000000"/>
          <w:sz w:val="24"/>
          <w:highlight w:val="none"/>
        </w:rPr>
        <w:t>，对</w:t>
      </w:r>
      <w:r>
        <w:rPr>
          <w:rFonts w:hint="eastAsia" w:ascii="宋体" w:hAnsi="宋体" w:eastAsia="宋体" w:cs="宋体"/>
          <w:color w:val="000000"/>
          <w:sz w:val="24"/>
          <w:highlight w:val="none"/>
          <w:lang w:val="en-US" w:eastAsia="zh-CN"/>
        </w:rPr>
        <w:t>其</w:t>
      </w:r>
      <w:r>
        <w:rPr>
          <w:rFonts w:hint="eastAsia" w:ascii="宋体" w:hAnsi="宋体" w:eastAsia="宋体" w:cs="宋体"/>
          <w:color w:val="000000"/>
          <w:sz w:val="24"/>
          <w:highlight w:val="none"/>
        </w:rPr>
        <w:t>最终性能和质量起着决定性作用。目前，热压罐固化过程主要依赖专业人员经验进行</w:t>
      </w:r>
      <w:r>
        <w:rPr>
          <w:rFonts w:hint="eastAsia" w:ascii="宋体" w:hAnsi="宋体" w:eastAsia="宋体" w:cs="宋体"/>
          <w:color w:val="000000"/>
          <w:sz w:val="24"/>
          <w:highlight w:val="none"/>
          <w:lang w:val="en-US" w:eastAsia="zh-CN"/>
        </w:rPr>
        <w:t>固化</w:t>
      </w:r>
      <w:r>
        <w:rPr>
          <w:rFonts w:hint="eastAsia" w:ascii="宋体" w:hAnsi="宋体" w:eastAsia="宋体" w:cs="宋体"/>
          <w:color w:val="000000"/>
          <w:sz w:val="24"/>
          <w:highlight w:val="none"/>
        </w:rPr>
        <w:t>工艺参数</w:t>
      </w:r>
      <w:r>
        <w:rPr>
          <w:rFonts w:hint="eastAsia" w:ascii="宋体" w:hAnsi="宋体" w:eastAsia="宋体" w:cs="宋体"/>
          <w:color w:val="000000"/>
          <w:sz w:val="24"/>
          <w:highlight w:val="none"/>
          <w:lang w:val="en-US" w:eastAsia="zh-CN"/>
        </w:rPr>
        <w:t>的程序</w:t>
      </w:r>
      <w:r>
        <w:rPr>
          <w:rFonts w:hint="eastAsia" w:ascii="宋体" w:hAnsi="宋体" w:eastAsia="宋体" w:cs="宋体"/>
          <w:color w:val="000000"/>
          <w:sz w:val="24"/>
          <w:highlight w:val="none"/>
        </w:rPr>
        <w:t>设计，</w:t>
      </w:r>
      <w:r>
        <w:rPr>
          <w:rFonts w:hint="eastAsia" w:ascii="宋体" w:hAnsi="宋体" w:eastAsia="宋体" w:cs="宋体"/>
          <w:color w:val="000000"/>
          <w:sz w:val="24"/>
          <w:highlight w:val="none"/>
          <w:lang w:val="en-US" w:eastAsia="zh-CN"/>
        </w:rPr>
        <w:t>并</w:t>
      </w:r>
      <w:r>
        <w:rPr>
          <w:rFonts w:hint="eastAsia" w:ascii="宋体" w:hAnsi="宋体" w:eastAsia="宋体" w:cs="宋体"/>
          <w:color w:val="000000"/>
          <w:sz w:val="24"/>
          <w:highlight w:val="none"/>
        </w:rPr>
        <w:t>通过反复试验来优化固化工艺参数，</w:t>
      </w:r>
      <w:r>
        <w:rPr>
          <w:rFonts w:hint="eastAsia" w:ascii="宋体" w:hAnsi="宋体" w:eastAsia="宋体" w:cs="宋体"/>
          <w:color w:val="000000"/>
          <w:sz w:val="24"/>
          <w:highlight w:val="none"/>
          <w:lang w:val="en-US" w:eastAsia="zh-CN"/>
        </w:rPr>
        <w:t>该种模式</w:t>
      </w:r>
      <w:r>
        <w:rPr>
          <w:rFonts w:hint="eastAsia" w:ascii="宋体" w:hAnsi="宋体" w:eastAsia="宋体" w:cs="宋体"/>
          <w:color w:val="000000"/>
          <w:sz w:val="24"/>
          <w:highlight w:val="none"/>
        </w:rPr>
        <w:t>存在</w:t>
      </w:r>
      <w:r>
        <w:rPr>
          <w:rFonts w:hint="eastAsia" w:ascii="宋体" w:hAnsi="宋体" w:eastAsia="宋体" w:cs="宋体"/>
          <w:color w:val="000000"/>
          <w:sz w:val="24"/>
          <w:highlight w:val="none"/>
          <w:lang w:val="en-US" w:eastAsia="zh-CN"/>
        </w:rPr>
        <w:t>迭代</w:t>
      </w:r>
      <w:r>
        <w:rPr>
          <w:rFonts w:hint="eastAsia" w:ascii="宋体" w:hAnsi="宋体" w:eastAsia="宋体" w:cs="宋体"/>
          <w:color w:val="000000"/>
          <w:sz w:val="24"/>
          <w:highlight w:val="none"/>
        </w:rPr>
        <w:t>周期长、质量效率难以兼顾</w:t>
      </w:r>
      <w:r>
        <w:rPr>
          <w:rFonts w:hint="eastAsia" w:ascii="宋体" w:hAnsi="宋体" w:eastAsia="宋体" w:cs="宋体"/>
          <w:color w:val="000000"/>
          <w:sz w:val="24"/>
          <w:highlight w:val="none"/>
          <w:lang w:val="en-US" w:eastAsia="zh-CN"/>
        </w:rPr>
        <w:t>等问题</w:t>
      </w:r>
      <w:r>
        <w:rPr>
          <w:rFonts w:hint="eastAsia" w:ascii="宋体" w:hAnsi="宋体" w:eastAsia="宋体" w:cs="宋体"/>
          <w:color w:val="000000"/>
          <w:sz w:val="24"/>
          <w:highlight w:val="none"/>
        </w:rPr>
        <w:t>，难以满足快速迭代的制造需求。近年来，随着工业大数据与机器学习技术的快速发展，数据驱动方法为提升复合材料固化工艺参数</w:t>
      </w:r>
      <w:r>
        <w:rPr>
          <w:rFonts w:hint="eastAsia" w:ascii="宋体" w:hAnsi="宋体" w:eastAsia="宋体" w:cs="宋体"/>
          <w:color w:val="000000"/>
          <w:sz w:val="24"/>
          <w:highlight w:val="none"/>
          <w:lang w:val="en-US" w:eastAsia="zh-CN"/>
        </w:rPr>
        <w:t>程序</w:t>
      </w:r>
      <w:r>
        <w:rPr>
          <w:rFonts w:hint="eastAsia" w:ascii="宋体" w:hAnsi="宋体" w:eastAsia="宋体" w:cs="宋体"/>
          <w:color w:val="000000"/>
          <w:sz w:val="24"/>
          <w:highlight w:val="none"/>
        </w:rPr>
        <w:t>设计的智能化水平提供了新的解决路径。本项目将有效解决传统固化工艺参数</w:t>
      </w:r>
      <w:r>
        <w:rPr>
          <w:rFonts w:hint="eastAsia" w:ascii="宋体" w:hAnsi="宋体" w:eastAsia="宋体" w:cs="宋体"/>
          <w:color w:val="000000"/>
          <w:sz w:val="24"/>
          <w:highlight w:val="none"/>
          <w:lang w:val="en-US" w:eastAsia="zh-CN"/>
        </w:rPr>
        <w:t>程序</w:t>
      </w:r>
      <w:r>
        <w:rPr>
          <w:rFonts w:hint="eastAsia" w:ascii="宋体" w:hAnsi="宋体" w:eastAsia="宋体" w:cs="宋体"/>
          <w:color w:val="000000"/>
          <w:sz w:val="24"/>
          <w:highlight w:val="none"/>
        </w:rPr>
        <w:t>设计的经验依赖问题，缩短</w:t>
      </w:r>
      <w:r>
        <w:rPr>
          <w:rFonts w:hint="eastAsia" w:ascii="宋体" w:hAnsi="宋体" w:eastAsia="宋体" w:cs="宋体"/>
          <w:color w:val="000000"/>
          <w:sz w:val="24"/>
          <w:highlight w:val="none"/>
          <w:lang w:val="en-US" w:eastAsia="zh-CN"/>
        </w:rPr>
        <w:t>迭代</w:t>
      </w:r>
      <w:r>
        <w:rPr>
          <w:rFonts w:hint="eastAsia" w:ascii="宋体" w:hAnsi="宋体" w:eastAsia="宋体" w:cs="宋体"/>
          <w:color w:val="000000"/>
          <w:sz w:val="24"/>
          <w:highlight w:val="none"/>
        </w:rPr>
        <w:t>周期，推动复合材料热压罐</w:t>
      </w:r>
      <w:r>
        <w:rPr>
          <w:rFonts w:hint="eastAsia" w:ascii="宋体" w:hAnsi="宋体" w:eastAsia="宋体" w:cs="宋体"/>
          <w:color w:val="000000"/>
          <w:sz w:val="24"/>
          <w:highlight w:val="none"/>
          <w:lang w:val="en-US" w:eastAsia="zh-CN"/>
        </w:rPr>
        <w:t>固化工艺优化</w:t>
      </w:r>
      <w:r>
        <w:rPr>
          <w:rFonts w:hint="eastAsia" w:ascii="宋体" w:hAnsi="宋体" w:eastAsia="宋体" w:cs="宋体"/>
          <w:color w:val="000000"/>
          <w:sz w:val="24"/>
          <w:highlight w:val="none"/>
        </w:rPr>
        <w:t>，为大型客机典型零件的</w:t>
      </w:r>
      <w:r>
        <w:rPr>
          <w:rFonts w:hint="eastAsia" w:ascii="宋体" w:hAnsi="宋体" w:eastAsia="宋体" w:cs="宋体"/>
          <w:color w:val="000000"/>
          <w:sz w:val="24"/>
          <w:highlight w:val="none"/>
          <w:lang w:val="en-US" w:eastAsia="zh-CN"/>
        </w:rPr>
        <w:t>固化</w:t>
      </w:r>
      <w:r>
        <w:rPr>
          <w:rFonts w:hint="eastAsia" w:ascii="宋体" w:hAnsi="宋体" w:eastAsia="宋体" w:cs="宋体"/>
          <w:color w:val="000000"/>
          <w:sz w:val="24"/>
          <w:highlight w:val="none"/>
        </w:rPr>
        <w:t>过程分析与预测奠定坚实基础。</w:t>
      </w:r>
    </w:p>
    <w:p w14:paraId="30CB957E">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5484061F">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复材工艺</w:t>
      </w:r>
    </w:p>
    <w:p w14:paraId="43B969D1">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33509171">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项目目标：</w:t>
      </w:r>
    </w:p>
    <w:p w14:paraId="30E104E6">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本项目针对复合材料热压罐固化工艺参数程序设计存在的经验依赖性强、</w:t>
      </w:r>
      <w:r>
        <w:rPr>
          <w:rFonts w:hint="eastAsia" w:ascii="宋体" w:hAnsi="宋体" w:eastAsia="宋体" w:cs="宋体"/>
          <w:color w:val="000000"/>
          <w:sz w:val="24"/>
          <w:highlight w:val="none"/>
          <w:lang w:val="en-US" w:eastAsia="zh-CN"/>
        </w:rPr>
        <w:t>迭代</w:t>
      </w:r>
      <w:r>
        <w:rPr>
          <w:rFonts w:hint="eastAsia" w:ascii="宋体" w:hAnsi="宋体" w:eastAsia="宋体" w:cs="宋体"/>
          <w:color w:val="000000"/>
          <w:sz w:val="24"/>
          <w:highlight w:val="none"/>
        </w:rPr>
        <w:t>周期长、质量效率难以兼顾等关键问题，通过整合多源工艺数据，构建高保真热压罐固化过程模型，开发基于深度学习的智能预测与优化系统，突破多物理场耦合建模、数据驱动预测及多目标优化等核心技术，实现固化工艺参数的智能推荐与精准控制，显著提升固化效率与质量一致性，为航空航天领域复合材料</w:t>
      </w:r>
      <w:r>
        <w:rPr>
          <w:rFonts w:hint="eastAsia" w:ascii="宋体" w:hAnsi="宋体" w:eastAsia="宋体" w:cs="宋体"/>
          <w:color w:val="000000"/>
          <w:sz w:val="24"/>
          <w:highlight w:val="none"/>
          <w:lang w:val="en-US" w:eastAsia="zh-CN"/>
        </w:rPr>
        <w:t>产品</w:t>
      </w:r>
      <w:r>
        <w:rPr>
          <w:rFonts w:hint="eastAsia" w:ascii="宋体" w:hAnsi="宋体" w:eastAsia="宋体" w:cs="宋体"/>
          <w:color w:val="000000"/>
          <w:sz w:val="24"/>
          <w:highlight w:val="none"/>
        </w:rPr>
        <w:t>的高效智能制造提供技术支撑。</w:t>
      </w:r>
    </w:p>
    <w:p w14:paraId="5B223A00">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shd w:val="clear" w:color="auto" w:fill="auto"/>
        </w:rPr>
      </w:pPr>
      <w:r>
        <w:rPr>
          <w:rFonts w:hint="eastAsia" w:ascii="宋体" w:hAnsi="宋体" w:eastAsia="宋体" w:cs="宋体"/>
          <w:b/>
          <w:sz w:val="24"/>
          <w:szCs w:val="24"/>
          <w:highlight w:val="none"/>
          <w:shd w:val="clear" w:color="auto" w:fill="auto"/>
        </w:rPr>
        <w:t>技术指标：</w:t>
      </w:r>
    </w:p>
    <w:p w14:paraId="28E4405E">
      <w:pPr>
        <w:pageBreakBefore w:val="0"/>
        <w:widowControl/>
        <w:numPr>
          <w:ilvl w:val="0"/>
          <w:numId w:val="9"/>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复合材料结构热压罐固化工艺过程高保真模型与试验实测数据</w:t>
      </w:r>
      <w:r>
        <w:rPr>
          <w:rFonts w:hint="eastAsia" w:ascii="宋体" w:hAnsi="宋体" w:eastAsia="宋体" w:cs="宋体"/>
          <w:color w:val="000000"/>
          <w:sz w:val="24"/>
          <w:highlight w:val="none"/>
          <w:lang w:val="en-US" w:eastAsia="zh-CN"/>
        </w:rPr>
        <w:t>平均</w:t>
      </w:r>
      <w:r>
        <w:rPr>
          <w:rFonts w:hint="eastAsia" w:ascii="宋体" w:hAnsi="宋体" w:eastAsia="宋体" w:cs="宋体"/>
          <w:color w:val="000000"/>
          <w:sz w:val="24"/>
          <w:highlight w:val="none"/>
        </w:rPr>
        <w:t>误差≤12%；</w:t>
      </w:r>
    </w:p>
    <w:p w14:paraId="71A6DF13">
      <w:pPr>
        <w:pageBreakBefore w:val="0"/>
        <w:widowControl/>
        <w:numPr>
          <w:ilvl w:val="0"/>
          <w:numId w:val="9"/>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基于深度神经网络的热压罐固化工艺过程端到端预测的均方根误差RMSE≤12%；</w:t>
      </w:r>
    </w:p>
    <w:p w14:paraId="0BE28D7A">
      <w:pPr>
        <w:pageBreakBefore w:val="0"/>
        <w:widowControl/>
        <w:numPr>
          <w:ilvl w:val="0"/>
          <w:numId w:val="9"/>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基于深度神经网络的热压罐固化工艺过程端到端预测单次耗时≤10秒；</w:t>
      </w:r>
    </w:p>
    <w:p w14:paraId="1EA13B72">
      <w:pPr>
        <w:pageBreakBefore w:val="0"/>
        <w:widowControl/>
        <w:numPr>
          <w:ilvl w:val="0"/>
          <w:numId w:val="9"/>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典型构件</w:t>
      </w:r>
      <w:r>
        <w:rPr>
          <w:rFonts w:hint="eastAsia" w:ascii="宋体" w:hAnsi="宋体" w:eastAsia="宋体" w:cs="宋体"/>
          <w:color w:val="000000"/>
          <w:sz w:val="24"/>
          <w:highlight w:val="none"/>
        </w:rPr>
        <w:t>固化工艺多目标优化</w:t>
      </w:r>
      <w:r>
        <w:rPr>
          <w:rFonts w:hint="eastAsia" w:ascii="宋体" w:hAnsi="宋体" w:eastAsia="宋体" w:cs="宋体"/>
          <w:color w:val="000000"/>
          <w:sz w:val="24"/>
          <w:highlight w:val="none"/>
          <w:lang w:val="en-US" w:eastAsia="zh-CN"/>
        </w:rPr>
        <w:t>后</w:t>
      </w:r>
      <w:r>
        <w:rPr>
          <w:rFonts w:hint="eastAsia" w:ascii="宋体" w:hAnsi="宋体" w:eastAsia="宋体" w:cs="宋体"/>
          <w:color w:val="000000"/>
          <w:sz w:val="24"/>
          <w:highlight w:val="none"/>
        </w:rPr>
        <w:t>固化周期缩短2%以上；</w:t>
      </w:r>
    </w:p>
    <w:p w14:paraId="15F02C8B">
      <w:pPr>
        <w:pageBreakBefore w:val="0"/>
        <w:widowControl/>
        <w:numPr>
          <w:ilvl w:val="0"/>
          <w:numId w:val="9"/>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热压罐固化成型数据预测模型技术成熟度达到TRL4级。</w:t>
      </w:r>
    </w:p>
    <w:p w14:paraId="304C816D">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4EF08D7B">
      <w:pPr>
        <w:pageBreakBefore w:val="0"/>
        <w:numPr>
          <w:ilvl w:val="0"/>
          <w:numId w:val="0"/>
        </w:numPr>
        <w:kinsoku/>
        <w:wordWrap/>
        <w:topLinePunct w:val="0"/>
        <w:autoSpaceDE/>
        <w:autoSpaceDN/>
        <w:bidi w:val="0"/>
        <w:spacing w:line="240" w:lineRule="auto"/>
        <w:ind w:left="0" w:firstLine="480" w:firstLineChars="200"/>
        <w:rPr>
          <w:rFonts w:hint="eastAsia" w:ascii="宋体" w:hAnsi="宋体" w:eastAsia="宋体" w:cs="宋体"/>
          <w:b w:val="0"/>
          <w:color w:val="000000"/>
          <w:sz w:val="24"/>
          <w:szCs w:val="24"/>
          <w:highlight w:val="none"/>
          <w:shd w:val="clear" w:color="auto" w:fill="auto"/>
        </w:rPr>
      </w:pPr>
      <w:r>
        <w:rPr>
          <w:rFonts w:hint="eastAsia" w:ascii="宋体" w:hAnsi="宋体" w:eastAsia="宋体" w:cs="宋体"/>
          <w:b w:val="0"/>
          <w:color w:val="000000"/>
          <w:sz w:val="24"/>
          <w:szCs w:val="24"/>
          <w:highlight w:val="none"/>
          <w:shd w:val="clear" w:color="auto" w:fill="auto"/>
        </w:rPr>
        <w:t>围绕热压罐固化过程建模与工艺</w:t>
      </w:r>
      <w:r>
        <w:rPr>
          <w:rFonts w:hint="eastAsia" w:ascii="宋体" w:hAnsi="宋体" w:eastAsia="宋体" w:cs="宋体"/>
          <w:color w:val="000000"/>
          <w:sz w:val="24"/>
          <w:szCs w:val="24"/>
          <w:highlight w:val="none"/>
          <w:shd w:val="clear" w:color="auto" w:fill="auto"/>
        </w:rPr>
        <w:t>优化的核心目标，项目拟开展以下研究内容：</w:t>
      </w:r>
    </w:p>
    <w:p w14:paraId="160A0E88">
      <w:pPr>
        <w:pStyle w:val="16"/>
        <w:pageBreakBefore w:val="0"/>
        <w:numPr>
          <w:ilvl w:val="0"/>
          <w:numId w:val="10"/>
        </w:numPr>
        <w:kinsoku/>
        <w:wordWrap/>
        <w:topLinePunct w:val="0"/>
        <w:autoSpaceDE/>
        <w:autoSpaceDN/>
        <w:bidi w:val="0"/>
        <w:spacing w:line="240" w:lineRule="auto"/>
        <w:ind w:firstLineChars="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复合材料结构热压罐固化工艺过程高保真建模</w:t>
      </w:r>
    </w:p>
    <w:p w14:paraId="5FF76FC9">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w:t>
      </w:r>
      <w:r>
        <w:rPr>
          <w:rFonts w:hint="eastAsia" w:ascii="宋体" w:hAnsi="宋体" w:eastAsia="宋体" w:cs="宋体"/>
          <w:color w:val="000000"/>
          <w:sz w:val="24"/>
          <w:highlight w:val="none"/>
          <w:lang w:val="en-US" w:eastAsia="zh-CN"/>
        </w:rPr>
        <w:t>CAE仿真方法</w:t>
      </w:r>
      <w:r>
        <w:rPr>
          <w:rFonts w:hint="eastAsia" w:ascii="宋体" w:hAnsi="宋体" w:eastAsia="宋体" w:cs="宋体"/>
          <w:color w:val="000000"/>
          <w:sz w:val="24"/>
          <w:highlight w:val="none"/>
        </w:rPr>
        <w:t>，构建涵盖热压罐流场与温度场的多场耦合有限元仿真模型；采集实际生产中热压罐风速、构件表面对流换热系数等关键数据，用于高保真模型参数修正；设计正交实验，利用分布式热电偶，采集不同参数组合下的热压罐内温度场数据，验证模型的精度与有效性。</w:t>
      </w:r>
    </w:p>
    <w:p w14:paraId="705DFAEE">
      <w:pPr>
        <w:pStyle w:val="16"/>
        <w:pageBreakBefore w:val="0"/>
        <w:numPr>
          <w:ilvl w:val="0"/>
          <w:numId w:val="10"/>
        </w:numPr>
        <w:kinsoku/>
        <w:wordWrap/>
        <w:topLinePunct w:val="0"/>
        <w:autoSpaceDE/>
        <w:autoSpaceDN/>
        <w:bidi w:val="0"/>
        <w:spacing w:line="240" w:lineRule="auto"/>
        <w:ind w:firstLineChars="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数据驱动的热压罐固化工艺过程预测</w:t>
      </w:r>
    </w:p>
    <w:p w14:paraId="20E4C4E9">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基于建立的高保真模型，进行多因素及多水平的热压罐固化工艺过程</w:t>
      </w:r>
      <w:r>
        <w:rPr>
          <w:rFonts w:hint="eastAsia" w:ascii="宋体" w:hAnsi="宋体" w:eastAsia="宋体" w:cs="宋体"/>
          <w:color w:val="000000"/>
          <w:sz w:val="24"/>
          <w:highlight w:val="none"/>
          <w:lang w:val="en-US" w:eastAsia="zh-CN"/>
        </w:rPr>
        <w:t>CAE</w:t>
      </w:r>
      <w:r>
        <w:rPr>
          <w:rFonts w:hint="eastAsia" w:ascii="宋体" w:hAnsi="宋体" w:eastAsia="宋体" w:cs="宋体"/>
          <w:color w:val="000000"/>
          <w:sz w:val="24"/>
          <w:highlight w:val="none"/>
        </w:rPr>
        <w:t>仿真，构建包含流场、温度场、固化周期、温度曲线的</w:t>
      </w:r>
      <w:r>
        <w:rPr>
          <w:rFonts w:hint="eastAsia" w:ascii="宋体" w:hAnsi="宋体" w:eastAsia="宋体" w:cs="宋体"/>
          <w:color w:val="000000"/>
          <w:sz w:val="24"/>
          <w:highlight w:val="none"/>
          <w:lang w:val="en-US" w:eastAsia="zh-CN"/>
        </w:rPr>
        <w:t>CAE</w:t>
      </w:r>
      <w:r>
        <w:rPr>
          <w:rFonts w:hint="eastAsia" w:ascii="宋体" w:hAnsi="宋体" w:eastAsia="宋体" w:cs="宋体"/>
          <w:color w:val="000000"/>
          <w:sz w:val="24"/>
          <w:highlight w:val="none"/>
        </w:rPr>
        <w:t>多维数据集；针对固化过程的时序性、非线性特征，设计适配的深度学习网络，搭建热压罐固化工艺过程端到端代理模型；通过</w:t>
      </w:r>
      <w:r>
        <w:rPr>
          <w:rFonts w:hint="eastAsia" w:ascii="宋体" w:hAnsi="宋体" w:eastAsia="宋体" w:cs="宋体"/>
          <w:color w:val="000000"/>
          <w:sz w:val="24"/>
          <w:highlight w:val="none"/>
          <w:lang w:val="en-US" w:eastAsia="zh-CN"/>
        </w:rPr>
        <w:t>历史生产数据、</w:t>
      </w:r>
      <w:r>
        <w:rPr>
          <w:rFonts w:hint="eastAsia" w:ascii="宋体" w:hAnsi="宋体" w:eastAsia="宋体" w:cs="宋体"/>
          <w:color w:val="000000"/>
          <w:sz w:val="24"/>
          <w:highlight w:val="none"/>
          <w:lang w:val="en-US"/>
        </w:rPr>
        <w:t>试验</w:t>
      </w:r>
      <w:r>
        <w:rPr>
          <w:rFonts w:hint="eastAsia" w:ascii="宋体" w:hAnsi="宋体" w:eastAsia="宋体" w:cs="宋体"/>
          <w:color w:val="000000"/>
          <w:sz w:val="24"/>
          <w:highlight w:val="none"/>
        </w:rPr>
        <w:t>数据与仿真数据联合训练进行超参数调优，实现对固化过程温度变化等关键指标的精准、快速预测，</w:t>
      </w:r>
      <w:r>
        <w:rPr>
          <w:rFonts w:hint="eastAsia" w:ascii="宋体" w:hAnsi="宋体" w:eastAsia="宋体" w:cs="宋体"/>
          <w:color w:val="000000"/>
          <w:sz w:val="24"/>
          <w:highlight w:val="none"/>
          <w:lang w:val="en-US" w:eastAsia="zh-CN"/>
        </w:rPr>
        <w:t>并形成</w:t>
      </w:r>
      <w:r>
        <w:rPr>
          <w:rFonts w:hint="eastAsia" w:ascii="宋体" w:hAnsi="宋体" w:eastAsia="宋体" w:cs="宋体"/>
          <w:color w:val="000000"/>
          <w:sz w:val="24"/>
          <w:highlight w:val="none"/>
        </w:rPr>
        <w:t>一套</w:t>
      </w:r>
      <w:r>
        <w:rPr>
          <w:rFonts w:hint="eastAsia" w:ascii="宋体" w:hAnsi="宋体" w:eastAsia="宋体" w:cs="宋体"/>
          <w:color w:val="000000"/>
          <w:sz w:val="24"/>
          <w:highlight w:val="none"/>
          <w:lang w:val="en-US" w:eastAsia="zh-CN"/>
        </w:rPr>
        <w:t>固化工艺</w:t>
      </w:r>
      <w:r>
        <w:rPr>
          <w:rFonts w:hint="eastAsia" w:ascii="宋体" w:hAnsi="宋体" w:eastAsia="宋体" w:cs="宋体"/>
          <w:color w:val="000000"/>
          <w:sz w:val="24"/>
          <w:highlight w:val="none"/>
        </w:rPr>
        <w:t>数据库</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包含固化历史数据、试验实测数据与CAE仿真数据。</w:t>
      </w:r>
    </w:p>
    <w:p w14:paraId="1937C256">
      <w:pPr>
        <w:pStyle w:val="16"/>
        <w:pageBreakBefore w:val="0"/>
        <w:numPr>
          <w:ilvl w:val="0"/>
          <w:numId w:val="10"/>
        </w:numPr>
        <w:kinsoku/>
        <w:wordWrap/>
        <w:topLinePunct w:val="0"/>
        <w:autoSpaceDE/>
        <w:autoSpaceDN/>
        <w:bidi w:val="0"/>
        <w:spacing w:line="240" w:lineRule="auto"/>
        <w:ind w:firstLineChars="0"/>
        <w:textAlignment w:val="center"/>
        <w:rPr>
          <w:rFonts w:hint="eastAsia" w:ascii="宋体" w:hAnsi="宋体" w:eastAsia="宋体" w:cs="宋体"/>
          <w:color w:val="000000"/>
          <w:sz w:val="24"/>
          <w:highlight w:val="none"/>
        </w:rPr>
      </w:pPr>
      <w:bookmarkStart w:id="2" w:name="_Hlk198143654"/>
      <w:r>
        <w:rPr>
          <w:rFonts w:hint="eastAsia" w:ascii="宋体" w:hAnsi="宋体" w:eastAsia="宋体" w:cs="宋体"/>
          <w:color w:val="000000"/>
          <w:sz w:val="24"/>
          <w:highlight w:val="none"/>
        </w:rPr>
        <w:t>基于群体智能的热压罐固化工艺多目标优化</w:t>
      </w:r>
      <w:bookmarkEnd w:id="2"/>
    </w:p>
    <w:p w14:paraId="0C1A2907">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基于热压罐固化工艺过程深度学习预测模型，设计多目标遗传算法的适应度函数，以深度学习预测模型的预测误差为适应度值，开发改进型的多目标遗传算法，集成工艺可行域约束，通过迭代优化计算</w:t>
      </w:r>
      <w:r>
        <w:rPr>
          <w:rFonts w:hint="eastAsia" w:ascii="宋体" w:hAnsi="宋体" w:eastAsia="宋体" w:cs="宋体"/>
          <w:color w:val="000000"/>
          <w:sz w:val="24"/>
          <w:highlight w:val="none"/>
          <w:lang w:val="en-US" w:eastAsia="zh-CN"/>
        </w:rPr>
        <w:t>出</w:t>
      </w:r>
      <w:r>
        <w:rPr>
          <w:rFonts w:hint="eastAsia" w:ascii="宋体" w:hAnsi="宋体" w:eastAsia="宋体" w:cs="宋体"/>
          <w:color w:val="000000"/>
          <w:sz w:val="24"/>
          <w:highlight w:val="none"/>
        </w:rPr>
        <w:t>固化</w:t>
      </w:r>
      <w:r>
        <w:rPr>
          <w:rFonts w:hint="eastAsia" w:ascii="宋体" w:hAnsi="宋体" w:eastAsia="宋体" w:cs="宋体"/>
          <w:color w:val="000000"/>
          <w:sz w:val="24"/>
          <w:highlight w:val="none"/>
          <w:lang w:val="en-US" w:eastAsia="zh-CN"/>
        </w:rPr>
        <w:t>工艺</w:t>
      </w:r>
      <w:r>
        <w:rPr>
          <w:rFonts w:hint="eastAsia" w:ascii="宋体" w:hAnsi="宋体" w:eastAsia="宋体" w:cs="宋体"/>
          <w:color w:val="000000"/>
          <w:sz w:val="24"/>
          <w:highlight w:val="none"/>
        </w:rPr>
        <w:t>参数</w:t>
      </w:r>
      <w:r>
        <w:rPr>
          <w:rFonts w:hint="eastAsia" w:ascii="宋体" w:hAnsi="宋体" w:eastAsia="宋体" w:cs="宋体"/>
          <w:color w:val="000000"/>
          <w:sz w:val="24"/>
          <w:highlight w:val="none"/>
          <w:lang w:val="en-US" w:eastAsia="zh-CN"/>
        </w:rPr>
        <w:t>程序设定值</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升降</w:t>
      </w:r>
      <w:r>
        <w:rPr>
          <w:rFonts w:hint="eastAsia" w:ascii="宋体" w:hAnsi="宋体" w:eastAsia="宋体" w:cs="宋体"/>
          <w:color w:val="000000"/>
          <w:sz w:val="24"/>
          <w:highlight w:val="none"/>
          <w:lang w:val="en-US" w:eastAsia="zh-CN"/>
        </w:rPr>
        <w:t>温</w:t>
      </w:r>
      <w:r>
        <w:rPr>
          <w:rFonts w:hint="eastAsia" w:ascii="宋体" w:hAnsi="宋体" w:eastAsia="宋体" w:cs="宋体"/>
          <w:color w:val="000000"/>
          <w:sz w:val="24"/>
          <w:highlight w:val="none"/>
        </w:rPr>
        <w:t>速率、保温</w:t>
      </w:r>
      <w:r>
        <w:rPr>
          <w:rFonts w:hint="eastAsia" w:ascii="宋体" w:hAnsi="宋体" w:eastAsia="宋体" w:cs="宋体"/>
          <w:color w:val="000000"/>
          <w:sz w:val="24"/>
          <w:highlight w:val="none"/>
          <w:lang w:val="en-US" w:eastAsia="zh-CN"/>
        </w:rPr>
        <w:t>时长</w:t>
      </w:r>
      <w:r>
        <w:rPr>
          <w:rFonts w:hint="eastAsia" w:ascii="宋体" w:hAnsi="宋体" w:eastAsia="宋体" w:cs="宋体"/>
          <w:color w:val="000000"/>
          <w:sz w:val="24"/>
          <w:highlight w:val="none"/>
        </w:rPr>
        <w:t>等</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的帕累托解集。基于计算得到的帕累托解集，通过TOPSIS工艺方案决策方法，选择固化</w:t>
      </w:r>
      <w:r>
        <w:rPr>
          <w:rFonts w:hint="eastAsia" w:ascii="宋体" w:hAnsi="宋体" w:eastAsia="宋体" w:cs="宋体"/>
          <w:color w:val="000000"/>
          <w:sz w:val="24"/>
          <w:highlight w:val="none"/>
          <w:lang w:val="en-US" w:eastAsia="zh-CN"/>
        </w:rPr>
        <w:t>工艺</w:t>
      </w:r>
      <w:r>
        <w:rPr>
          <w:rFonts w:hint="eastAsia" w:ascii="宋体" w:hAnsi="宋体" w:eastAsia="宋体" w:cs="宋体"/>
          <w:color w:val="000000"/>
          <w:sz w:val="24"/>
          <w:highlight w:val="none"/>
        </w:rPr>
        <w:t>参数</w:t>
      </w:r>
      <w:r>
        <w:rPr>
          <w:rFonts w:hint="eastAsia" w:ascii="宋体" w:hAnsi="宋体" w:eastAsia="宋体" w:cs="宋体"/>
          <w:color w:val="000000"/>
          <w:sz w:val="24"/>
          <w:highlight w:val="none"/>
          <w:lang w:val="en-US" w:eastAsia="zh-CN"/>
        </w:rPr>
        <w:t>程序设定值的</w:t>
      </w:r>
      <w:r>
        <w:rPr>
          <w:rFonts w:hint="eastAsia" w:ascii="宋体" w:hAnsi="宋体" w:eastAsia="宋体" w:cs="宋体"/>
          <w:color w:val="000000"/>
          <w:sz w:val="24"/>
          <w:highlight w:val="none"/>
        </w:rPr>
        <w:t>折衷最优解，提升固化效率。</w:t>
      </w:r>
    </w:p>
    <w:p w14:paraId="6ECCDBD0">
      <w:pPr>
        <w:pStyle w:val="16"/>
        <w:pageBreakBefore w:val="0"/>
        <w:numPr>
          <w:ilvl w:val="0"/>
          <w:numId w:val="10"/>
        </w:numPr>
        <w:kinsoku/>
        <w:wordWrap/>
        <w:topLinePunct w:val="0"/>
        <w:autoSpaceDE/>
        <w:autoSpaceDN/>
        <w:bidi w:val="0"/>
        <w:spacing w:line="240" w:lineRule="auto"/>
        <w:ind w:firstLineChars="0"/>
        <w:textAlignment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典型构件工程应用验证</w:t>
      </w:r>
    </w:p>
    <w:p w14:paraId="3A02CA8D">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进行典型构件的工艺验证试验，对比标称固化工艺和优化后的固化周期及固化温度曲线等指标，对比模型输出的升降温速率预测曲线与实测曲线的吻合度，结合误差阈值判定与趋势一致性分析，确保热压罐固化升降温的预测偏差满足技术指标要求，验证本项目相关模型和方法的有效性。</w:t>
      </w:r>
    </w:p>
    <w:p w14:paraId="0AF1B491">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3F4499BE">
      <w:pPr>
        <w:pageBreakBefore w:val="0"/>
        <w:widowControl/>
        <w:numPr>
          <w:ilvl w:val="0"/>
          <w:numId w:val="11"/>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复合材料结构热压罐固化工艺过程高保真建模工艺指南1份；</w:t>
      </w:r>
    </w:p>
    <w:p w14:paraId="4883399C">
      <w:pPr>
        <w:pageBreakBefore w:val="0"/>
        <w:widowControl/>
        <w:numPr>
          <w:ilvl w:val="0"/>
          <w:numId w:val="11"/>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基于深度神经网络的热压罐固化工艺过程端到端预测模型，建立独立封装的模型软件1套；</w:t>
      </w:r>
    </w:p>
    <w:p w14:paraId="18CB2AA2">
      <w:pPr>
        <w:pageBreakBefore w:val="0"/>
        <w:widowControl/>
        <w:numPr>
          <w:ilvl w:val="0"/>
          <w:numId w:val="11"/>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固化工艺数据库</w:t>
      </w:r>
      <w:r>
        <w:rPr>
          <w:rFonts w:hint="eastAsia" w:ascii="宋体" w:hAnsi="宋体" w:eastAsia="宋体" w:cs="宋体"/>
          <w:color w:val="000000"/>
          <w:sz w:val="24"/>
          <w:highlight w:val="none"/>
          <w:lang w:val="en-US" w:eastAsia="zh-CN"/>
        </w:rPr>
        <w:t>1套</w:t>
      </w:r>
      <w:r>
        <w:rPr>
          <w:rFonts w:hint="eastAsia" w:ascii="宋体" w:hAnsi="宋体" w:eastAsia="宋体" w:cs="宋体"/>
          <w:color w:val="000000"/>
          <w:sz w:val="24"/>
          <w:highlight w:val="none"/>
        </w:rPr>
        <w:t>，包含固化历史数据、试验实测数据与CAE仿真数据</w:t>
      </w:r>
      <w:r>
        <w:rPr>
          <w:rFonts w:hint="eastAsia" w:ascii="宋体" w:hAnsi="宋体" w:eastAsia="宋体" w:cs="宋体"/>
          <w:color w:val="000000"/>
          <w:sz w:val="24"/>
          <w:highlight w:val="none"/>
          <w:lang w:val="en-US" w:eastAsia="zh-CN"/>
        </w:rPr>
        <w:t>；</w:t>
      </w:r>
    </w:p>
    <w:p w14:paraId="65A243F4">
      <w:pPr>
        <w:pageBreakBefore w:val="0"/>
        <w:widowControl/>
        <w:numPr>
          <w:ilvl w:val="0"/>
          <w:numId w:val="11"/>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基于数据驱动的热压罐固化过程建模与工艺优化技术研究报告1份；</w:t>
      </w:r>
    </w:p>
    <w:p w14:paraId="12C5716E">
      <w:pPr>
        <w:pageBreakBefore w:val="0"/>
        <w:widowControl/>
        <w:numPr>
          <w:ilvl w:val="0"/>
          <w:numId w:val="11"/>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发表国内外期刊论文不少于1篇；</w:t>
      </w:r>
    </w:p>
    <w:p w14:paraId="3A551D39">
      <w:pPr>
        <w:pageBreakBefore w:val="0"/>
        <w:widowControl/>
        <w:numPr>
          <w:ilvl w:val="0"/>
          <w:numId w:val="11"/>
        </w:numPr>
        <w:kinsoku/>
        <w:wordWrap/>
        <w:topLinePunct w:val="0"/>
        <w:autoSpaceDE/>
        <w:autoSpaceDN/>
        <w:bidi w:val="0"/>
        <w:spacing w:line="240" w:lineRule="auto"/>
        <w:ind w:left="0"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申请/授权发明专利1件。</w:t>
      </w:r>
    </w:p>
    <w:p w14:paraId="0A6367F9">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740A29F3">
      <w:pPr>
        <w:pageBreakBefore w:val="0"/>
        <w:numPr>
          <w:ilvl w:val="0"/>
          <w:numId w:val="0"/>
        </w:numPr>
        <w:kinsoku/>
        <w:wordWrap/>
        <w:topLinePunct w:val="0"/>
        <w:autoSpaceDE/>
        <w:autoSpaceDN/>
        <w:bidi w:val="0"/>
        <w:spacing w:line="24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个月</w:t>
      </w:r>
    </w:p>
    <w:p w14:paraId="66E2C2B8">
      <w:pPr>
        <w:pageBreakBefore w:val="0"/>
        <w:numPr>
          <w:ilvl w:val="0"/>
          <w:numId w:val="8"/>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119C4DAA">
      <w:pPr>
        <w:pageBreakBefore w:val="0"/>
        <w:numPr>
          <w:ilvl w:val="0"/>
          <w:numId w:val="0"/>
        </w:numPr>
        <w:kinsoku/>
        <w:wordWrap/>
        <w:topLinePunct w:val="0"/>
        <w:autoSpaceDE/>
        <w:autoSpaceDN/>
        <w:bidi w:val="0"/>
        <w:spacing w:line="240" w:lineRule="auto"/>
        <w:ind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50万元。</w:t>
      </w:r>
    </w:p>
    <w:p w14:paraId="0DDFB081">
      <w:pPr>
        <w:pStyle w:val="8"/>
        <w:pageBreakBefore w:val="0"/>
        <w:kinsoku/>
        <w:wordWrap/>
        <w:topLinePunct w:val="0"/>
        <w:autoSpaceDE/>
        <w:autoSpaceDN/>
        <w:bidi w:val="0"/>
        <w:spacing w:line="240" w:lineRule="auto"/>
        <w:rPr>
          <w:rFonts w:hint="eastAsia" w:ascii="宋体" w:hAnsi="宋体" w:eastAsia="宋体" w:cs="宋体"/>
          <w:sz w:val="24"/>
          <w:szCs w:val="24"/>
          <w:highlight w:val="none"/>
        </w:rPr>
      </w:pPr>
    </w:p>
    <w:p w14:paraId="5DCF4A11">
      <w:pPr>
        <w:pStyle w:val="8"/>
        <w:pageBreakBefore w:val="0"/>
        <w:kinsoku/>
        <w:wordWrap/>
        <w:topLinePunct w:val="0"/>
        <w:autoSpaceDE/>
        <w:autoSpaceDN/>
        <w:bidi w:val="0"/>
        <w:spacing w:line="240" w:lineRule="auto"/>
        <w:rPr>
          <w:rFonts w:hint="eastAsia" w:ascii="宋体" w:hAnsi="宋体" w:eastAsia="宋体" w:cs="宋体"/>
          <w:sz w:val="24"/>
          <w:szCs w:val="24"/>
          <w:highlight w:val="none"/>
        </w:rPr>
      </w:pPr>
    </w:p>
    <w:p w14:paraId="72F823F8">
      <w:pPr>
        <w:pStyle w:val="8"/>
        <w:pageBreakBefore w:val="0"/>
        <w:kinsoku/>
        <w:wordWrap/>
        <w:topLinePunct w:val="0"/>
        <w:autoSpaceDE/>
        <w:autoSpaceDN/>
        <w:bidi w:val="0"/>
        <w:spacing w:line="240" w:lineRule="auto"/>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16363EDC">
      <w:pPr>
        <w:pStyle w:val="2"/>
        <w:pageBreakBefore w:val="0"/>
        <w:kinsoku/>
        <w:wordWrap/>
        <w:topLinePunct w:val="0"/>
        <w:autoSpaceDE/>
        <w:autoSpaceDN/>
        <w:bidi w:val="0"/>
        <w:spacing w:line="240" w:lineRule="auto"/>
        <w:rPr>
          <w:rFonts w:hint="eastAsia" w:eastAsia="宋体"/>
          <w:highlight w:val="none"/>
          <w:lang w:val="en-US" w:eastAsia="zh-CN"/>
        </w:rPr>
      </w:pPr>
      <w:bookmarkStart w:id="3" w:name="_Toc29147"/>
      <w:r>
        <w:rPr>
          <w:rFonts w:hint="eastAsia" w:eastAsia="宋体"/>
          <w:highlight w:val="none"/>
          <w:lang w:val="en-US" w:eastAsia="zh-CN"/>
        </w:rPr>
        <w:t>飞机复合材料结构表面冲击显色技术研究</w:t>
      </w:r>
      <w:bookmarkEnd w:id="3"/>
    </w:p>
    <w:p w14:paraId="6FBCAE06">
      <w:pPr>
        <w:pageBreakBefore w:val="0"/>
        <w:numPr>
          <w:ilvl w:val="0"/>
          <w:numId w:val="12"/>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51088825">
      <w:pPr>
        <w:pageBreakBefore w:val="0"/>
        <w:kinsoku/>
        <w:wordWrap/>
        <w:topLinePunct w:val="0"/>
        <w:autoSpaceDE/>
        <w:autoSpaceDN/>
        <w:bidi w:val="0"/>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飞机复合材料结构在制造、装配及维护过程中，易受工具坠落等意外低速冲击。此类冲击可能在结构内部（如帽型长桁R区等）造成目视不可检的损伤，如分层、基体开裂等，严重威胁结构安全。现行基于表面凹坑或裂纹“勉强目视可见（BVID）”的设计准则为保障安全，往往导致结构设计过于保守，付出不必要的重量代价。</w:t>
      </w:r>
    </w:p>
    <w:p w14:paraId="10DAEA53">
      <w:pPr>
        <w:pageBreakBefore w:val="0"/>
        <w:kinsoku/>
        <w:wordWrap/>
        <w:topLinePunct w:val="0"/>
        <w:autoSpaceDE/>
        <w:autoSpaceDN/>
        <w:bidi w:val="0"/>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解决上述难题，本项目旨在研发一种应用于复合材料结构表面的冲击显色材料。该材料基于微胶囊技术原理，在遭受特定能量阈值以上的冲击时，内部染料释放并显色，从而将不可检的内部损伤转化为可目视辨识的表面迹象。此项技术有望实现冲击损伤的即时、直观检出，支持更优化、更轻量化的损伤容限设计，对提升飞机复合材料结构的安全性、可维护性与经济性具有重要意义。</w:t>
      </w:r>
    </w:p>
    <w:p w14:paraId="738A50D8">
      <w:pPr>
        <w:pageBreakBefore w:val="0"/>
        <w:numPr>
          <w:ilvl w:val="0"/>
          <w:numId w:val="12"/>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457453DB">
      <w:pPr>
        <w:pageBreakBefore w:val="0"/>
        <w:kinsoku/>
        <w:wordWrap/>
        <w:topLinePunct w:val="0"/>
        <w:autoSpaceDE/>
        <w:autoSpaceDN/>
        <w:bidi w:val="0"/>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复合材料设计</w:t>
      </w:r>
    </w:p>
    <w:p w14:paraId="30020F82">
      <w:pPr>
        <w:pageBreakBefore w:val="0"/>
        <w:numPr>
          <w:ilvl w:val="0"/>
          <w:numId w:val="12"/>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52C485C9">
      <w:pPr>
        <w:pageBreakBefore w:val="0"/>
        <w:kinsoku/>
        <w:wordWrap/>
        <w:topLinePunct w:val="0"/>
        <w:autoSpaceDE/>
        <w:autoSpaceDN/>
        <w:bidi w:val="0"/>
        <w:spacing w:line="240" w:lineRule="auto"/>
        <w:ind w:firstLine="480" w:firstLineChars="200"/>
        <w:textAlignment w:val="center"/>
        <w:rPr>
          <w:rFonts w:hint="eastAsia" w:ascii="宋体" w:hAnsi="宋体" w:eastAsia="宋体" w:cs="宋体"/>
          <w:color w:val="FF0000"/>
          <w:sz w:val="24"/>
          <w:szCs w:val="24"/>
          <w:highlight w:val="none"/>
        </w:rPr>
      </w:pPr>
      <w:r>
        <w:rPr>
          <w:rFonts w:hint="eastAsia" w:ascii="宋体" w:hAnsi="宋体" w:eastAsia="宋体" w:cs="宋体"/>
          <w:b/>
          <w:sz w:val="24"/>
          <w:szCs w:val="24"/>
          <w:highlight w:val="none"/>
        </w:rPr>
        <w:t>项目目标：</w:t>
      </w:r>
      <w:r>
        <w:rPr>
          <w:rFonts w:hint="eastAsia" w:ascii="宋体" w:hAnsi="宋体" w:eastAsia="宋体" w:cs="宋体"/>
          <w:color w:val="FF0000"/>
          <w:sz w:val="24"/>
          <w:szCs w:val="24"/>
          <w:highlight w:val="none"/>
        </w:rPr>
        <w:t xml:space="preserve"> </w:t>
      </w:r>
    </w:p>
    <w:p w14:paraId="4668A568">
      <w:pPr>
        <w:pStyle w:val="16"/>
        <w:pageBreakBefore w:val="0"/>
        <w:numPr>
          <w:ilvl w:val="0"/>
          <w:numId w:val="13"/>
        </w:numPr>
        <w:kinsoku/>
        <w:wordWrap/>
        <w:topLinePunct w:val="0"/>
        <w:autoSpaceDE/>
        <w:autoSpaceDN/>
        <w:bidi w:val="0"/>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研发一种可铺贴于复合材料帽型长桁表面的冲击显色材料，在设计规定的冲击能量（如6 J）下可实现冲击显色功能。</w:t>
      </w:r>
    </w:p>
    <w:p w14:paraId="3209B5C7">
      <w:pPr>
        <w:pStyle w:val="16"/>
        <w:pageBreakBefore w:val="0"/>
        <w:numPr>
          <w:ilvl w:val="0"/>
          <w:numId w:val="13"/>
        </w:numPr>
        <w:kinsoku/>
        <w:wordWrap/>
        <w:topLinePunct w:val="0"/>
        <w:autoSpaceDE/>
        <w:autoSpaceDN/>
        <w:bidi w:val="0"/>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建立完整的测试与评估方法，验证材料的冲击显色阈值、显色可检性满足设计要求。</w:t>
      </w:r>
    </w:p>
    <w:p w14:paraId="10E3A368">
      <w:pPr>
        <w:pStyle w:val="16"/>
        <w:pageBreakBefore w:val="0"/>
        <w:numPr>
          <w:ilvl w:val="0"/>
          <w:numId w:val="13"/>
        </w:numPr>
        <w:kinsoku/>
        <w:wordWrap/>
        <w:topLinePunct w:val="0"/>
        <w:autoSpaceDE/>
        <w:autoSpaceDN/>
        <w:bidi w:val="0"/>
        <w:spacing w:line="240" w:lineRule="auto"/>
        <w:ind w:firstLineChars="0"/>
        <w:contextualSpacing/>
        <w:textAlignment w:val="center"/>
        <w:rPr>
          <w:rFonts w:hint="eastAsia" w:ascii="宋体" w:hAnsi="宋体" w:eastAsia="宋体" w:cs="宋体"/>
          <w:color w:val="000000"/>
          <w:sz w:val="24"/>
          <w:szCs w:val="24"/>
          <w:highlight w:val="none"/>
        </w:rPr>
      </w:pPr>
      <w:r>
        <w:rPr>
          <w:rFonts w:hint="eastAsia" w:ascii="Times New Roman" w:hAnsi="Times New Roman" w:eastAsia="宋体" w:cs="宋体"/>
          <w:color w:val="000000"/>
          <w:sz w:val="24"/>
          <w:highlight w:val="none"/>
        </w:rPr>
        <w:t>系统验证材料的工艺兼容性、力学性能及环境耐久性，确保其满足飞机结构应用要求</w:t>
      </w:r>
      <w:r>
        <w:rPr>
          <w:rFonts w:hint="eastAsia" w:ascii="宋体" w:hAnsi="宋体" w:eastAsia="宋体" w:cs="宋体"/>
          <w:color w:val="000000"/>
          <w:sz w:val="24"/>
          <w:szCs w:val="24"/>
          <w:highlight w:val="none"/>
        </w:rPr>
        <w:t>。</w:t>
      </w:r>
    </w:p>
    <w:p w14:paraId="322BE663">
      <w:pPr>
        <w:pageBreakBefore w:val="0"/>
        <w:kinsoku/>
        <w:wordWrap/>
        <w:topLinePunct w:val="0"/>
        <w:autoSpaceDE/>
        <w:autoSpaceDN/>
        <w:bidi w:val="0"/>
        <w:spacing w:line="240" w:lineRule="auto"/>
        <w:ind w:firstLine="480" w:firstLine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4BEC014E">
      <w:pPr>
        <w:pStyle w:val="16"/>
        <w:pageBreakBefore w:val="0"/>
        <w:numPr>
          <w:ilvl w:val="0"/>
          <w:numId w:val="14"/>
        </w:numPr>
        <w:kinsoku/>
        <w:wordWrap/>
        <w:topLinePunct w:val="0"/>
        <w:autoSpaceDE/>
        <w:autoSpaceDN/>
        <w:bidi w:val="0"/>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物理特性：材料面密度不超过120 g/m2，厚度不超过0.12 mm；</w:t>
      </w:r>
    </w:p>
    <w:p w14:paraId="4C71FA62">
      <w:pPr>
        <w:pStyle w:val="16"/>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冲击显色门槛值：在50 MPa压强下几乎不显色（覆盖常规操作和维护情况）；在150 MPa压强下实现充分显色（异常冲击，要求明显可检）；</w:t>
      </w:r>
    </w:p>
    <w:p w14:paraId="2D0CCDAE">
      <w:pPr>
        <w:pStyle w:val="16"/>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材料铺覆性好，可柔顺地铺贴于帽型长桁表面不起皱、不起泡等；</w:t>
      </w:r>
    </w:p>
    <w:p w14:paraId="2E53FA40">
      <w:pPr>
        <w:pStyle w:val="16"/>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材料剥离强度：180°剥离强度0.2 N/mm~ 0.6 N/mm；</w:t>
      </w:r>
    </w:p>
    <w:p w14:paraId="69D69FFB">
      <w:pPr>
        <w:pStyle w:val="16"/>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使用温度范围：-55℃ 至 71℃；</w:t>
      </w:r>
    </w:p>
    <w:p w14:paraId="12E5B22F">
      <w:pPr>
        <w:pStyle w:val="16"/>
        <w:keepNext w:val="0"/>
        <w:keepLines w:val="0"/>
        <w:pageBreakBefore w:val="0"/>
        <w:widowControl w:val="0"/>
        <w:numPr>
          <w:ilvl w:val="0"/>
          <w:numId w:val="14"/>
        </w:numPr>
        <w:kinsoku/>
        <w:wordWrap/>
        <w:overflowPunct/>
        <w:topLinePunct w:val="0"/>
        <w:autoSpaceDE/>
        <w:autoSpaceDN/>
        <w:bidi w:val="0"/>
        <w:adjustRightInd/>
        <w:snapToGrid/>
        <w:spacing w:line="240" w:lineRule="auto"/>
        <w:ind w:firstLineChars="0"/>
        <w:contextualSpacing/>
        <w:textAlignment w:val="cente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环境耐久性：在12年等效周期内，冲击显色度衰减率不高于30%。</w:t>
      </w:r>
    </w:p>
    <w:p w14:paraId="6CF42EF5">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75A5C43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拟解决的关键技术</w:t>
      </w:r>
    </w:p>
    <w:p w14:paraId="196CE1C1">
      <w:pPr>
        <w:pStyle w:val="16"/>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Chars="0"/>
        <w:contextualSpacing/>
        <w:textAlignment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冲击显色阈值的精确调控技术：攻克显色材料微/纳观结构（如微胶囊壁厚、强度、分布）与宏观显色阈值之间的定量关联与可控设计难题，实现针对特定冲击能量的定制化响应。</w:t>
      </w:r>
    </w:p>
    <w:p w14:paraId="11E60777">
      <w:pPr>
        <w:pStyle w:val="16"/>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Chars="0"/>
        <w:contextualSpacing/>
        <w:textAlignment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材料响应特性的标准化测试与量化评估技术：建立从微观单胞到大尺寸样件、从实验室基础表征到模拟服役环境验证的多层级测试体系，形成对显色性能的客观、量化评价标准。</w:t>
      </w:r>
    </w:p>
    <w:p w14:paraId="0B7902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p w14:paraId="0049C11B">
      <w:pPr>
        <w:keepNext w:val="0"/>
        <w:keepLines w:val="0"/>
        <w:pageBreakBefore w:val="0"/>
        <w:widowControl w:val="0"/>
        <w:kinsoku/>
        <w:wordWrap/>
        <w:overflowPunct/>
        <w:topLinePunct w:val="0"/>
        <w:autoSpaceDE/>
        <w:autoSpaceDN/>
        <w:bidi w:val="0"/>
        <w:adjustRightInd/>
        <w:snapToGrid/>
        <w:spacing w:line="240" w:lineRule="auto"/>
        <w:ind w:left="420"/>
        <w:contextualSpacing/>
        <w:textAlignment w:val="center"/>
        <w:rPr>
          <w:rFonts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开展冲击、静力、重复载荷、环境等鉴定试验或分析，验证相应的指标要求。</w:t>
      </w:r>
    </w:p>
    <w:p w14:paraId="6472D8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cente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研究内容</w:t>
      </w:r>
    </w:p>
    <w:p w14:paraId="3473CF21">
      <w:pPr>
        <w:pStyle w:val="16"/>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冲击显色材料性能调控机理与设计技术研究</w:t>
      </w:r>
    </w:p>
    <w:p w14:paraId="2BFC7695">
      <w:pPr>
        <w:pStyle w:val="16"/>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研究显色体系的化学反应机理及环境（温、湿度）影响规律，奠定材料耐候性设计基础。通过组分、配比与结构优化，在满足面密度与厚度指标前提下，提升显色稳定性与可检性。</w:t>
      </w:r>
    </w:p>
    <w:p w14:paraId="456DCB78">
      <w:pPr>
        <w:pStyle w:val="16"/>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研究微胶囊力学性能（破裂强度、分布）与宏观显色阈值（50/150 MPa）的映射关系，发展多尺度模型，实现显色阈值的可预测、可设计。</w:t>
      </w:r>
    </w:p>
    <w:p w14:paraId="26D0B2E5">
      <w:pPr>
        <w:pStyle w:val="16"/>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研究材料力学属性（模量、强度、延展性）与铺覆性能（弯曲刚度、最小弯曲半径）的关联，建立面向复杂曲面的柔顺性设计准则。</w:t>
      </w:r>
    </w:p>
    <w:p w14:paraId="3D7FFD4B">
      <w:pPr>
        <w:pStyle w:val="16"/>
        <w:keepNext w:val="0"/>
        <w:keepLines w:val="0"/>
        <w:pageBreakBefore w:val="0"/>
        <w:widowControl w:val="0"/>
        <w:numPr>
          <w:ilvl w:val="0"/>
          <w:numId w:val="17"/>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研究胶粘剂体系筛选与改性技术，平衡粘接性能（剥离强度）、工艺性及对冲击应力传递的影响，确保粘接可靠且不干扰正常显色功能。</w:t>
      </w:r>
    </w:p>
    <w:p w14:paraId="5EFE5F88">
      <w:pPr>
        <w:pStyle w:val="16"/>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高性能冲击显色材料可控制备工艺研究</w:t>
      </w:r>
    </w:p>
    <w:p w14:paraId="08BF122C">
      <w:pPr>
        <w:pStyle w:val="16"/>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系统研究并优化从微胶囊合成、浆料配制到涂布固化的完整工艺流程，确保产品性能一致性。</w:t>
      </w:r>
    </w:p>
    <w:p w14:paraId="32C52BFA">
      <w:pPr>
        <w:pStyle w:val="16"/>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对比研究界面聚合、原位聚合等微胶囊制备工艺，明确其对各性能指标的影响，选定最佳工艺路线。</w:t>
      </w:r>
    </w:p>
    <w:p w14:paraId="69DF2089">
      <w:pPr>
        <w:pStyle w:val="16"/>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深入研究乳化条件、反应温度、粘度控制等关键工艺参数对微胶囊包埋率、粒径分布及强度一致性的影响规律，实现核心功能单元的高质量可控制备。</w:t>
      </w:r>
    </w:p>
    <w:p w14:paraId="13894623">
      <w:pPr>
        <w:pStyle w:val="16"/>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开发适用于超薄涂层的均匀涂布与低温固化工艺，保障材料在满足物理指标的同时，具备优异的曲面铺贴适应性。</w:t>
      </w:r>
    </w:p>
    <w:p w14:paraId="69FFC978">
      <w:pPr>
        <w:pStyle w:val="16"/>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工程适用性测试评价与验证技术研究</w:t>
      </w:r>
    </w:p>
    <w:p w14:paraId="64CBC499">
      <w:pPr>
        <w:pStyle w:val="16"/>
        <w:keepNext w:val="0"/>
        <w:keepLines w:val="0"/>
        <w:pageBreakBefore w:val="0"/>
        <w:widowControl w:val="0"/>
        <w:numPr>
          <w:ilvl w:val="0"/>
          <w:numId w:val="19"/>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构建涵盖材料性能、工艺性能、结构功能及环境耐久性的综合评价指标体系。</w:t>
      </w:r>
    </w:p>
    <w:p w14:paraId="2D7FE4E0">
      <w:pPr>
        <w:pStyle w:val="16"/>
        <w:keepNext w:val="0"/>
        <w:keepLines w:val="0"/>
        <w:pageBreakBefore w:val="0"/>
        <w:widowControl w:val="0"/>
        <w:numPr>
          <w:ilvl w:val="0"/>
          <w:numId w:val="19"/>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发展针对性的试验技术，包括：显色阈值标定测试、高低温环境下的显色功能测试、铺贴工艺仿真与验证试验。</w:t>
      </w:r>
    </w:p>
    <w:p w14:paraId="45B4851A">
      <w:pPr>
        <w:pStyle w:val="16"/>
        <w:keepNext w:val="0"/>
        <w:keepLines w:val="0"/>
        <w:pageBreakBefore w:val="0"/>
        <w:widowControl w:val="0"/>
        <w:numPr>
          <w:ilvl w:val="0"/>
          <w:numId w:val="19"/>
        </w:numPr>
        <w:kinsoku/>
        <w:wordWrap/>
        <w:overflowPunct/>
        <w:topLinePunct w:val="0"/>
        <w:autoSpaceDE/>
        <w:autoSpaceDN/>
        <w:bidi w:val="0"/>
        <w:adjustRightInd/>
        <w:snapToGrid/>
        <w:spacing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制定并实施加速老化试验谱，模拟12年等效服役环境，量化评估显色性能的衰减情况。</w:t>
      </w:r>
    </w:p>
    <w:p w14:paraId="555EEE2B">
      <w:pPr>
        <w:pStyle w:val="16"/>
        <w:keepNext w:val="0"/>
        <w:keepLines w:val="0"/>
        <w:pageBreakBefore w:val="0"/>
        <w:widowControl w:val="0"/>
        <w:numPr>
          <w:ilvl w:val="0"/>
          <w:numId w:val="19"/>
        </w:numPr>
        <w:kinsoku/>
        <w:wordWrap/>
        <w:overflowPunct/>
        <w:topLinePunct w:val="0"/>
        <w:autoSpaceDE/>
        <w:autoSpaceDN/>
        <w:bidi w:val="0"/>
        <w:adjustRightInd/>
        <w:snapToGrid/>
        <w:spacing w:line="240" w:lineRule="auto"/>
        <w:ind w:firstLineChars="0"/>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Cs w:val="24"/>
          <w:highlight w:val="none"/>
        </w:rPr>
        <w:t>在典型帽型长桁试件上开展集成应用验证，考核材料在实际结构曲面上的铺贴工艺适应性、粘接可靠性及冲击显色有效性</w:t>
      </w:r>
      <w:r>
        <w:rPr>
          <w:rFonts w:hint="eastAsia" w:ascii="宋体" w:hAnsi="宋体" w:eastAsia="宋体" w:cs="宋体"/>
          <w:color w:val="000000"/>
          <w:sz w:val="24"/>
          <w:szCs w:val="24"/>
          <w:highlight w:val="none"/>
          <w:lang w:val="en-US" w:eastAsia="zh-CN"/>
        </w:rPr>
        <w:t>。</w:t>
      </w:r>
    </w:p>
    <w:p w14:paraId="2405C664">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3709D0EC">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《冲击显色材料设计与制备工艺研究报告》1份。</w:t>
      </w:r>
    </w:p>
    <w:p w14:paraId="62FB0D1F">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《冲击显色材料性能测试与鉴定报告》1份。</w:t>
      </w:r>
    </w:p>
    <w:p w14:paraId="67217883">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高水平学术论文1篇。</w:t>
      </w:r>
    </w:p>
    <w:p w14:paraId="161EA6C9">
      <w:pPr>
        <w:keepNext w:val="0"/>
        <w:keepLines w:val="0"/>
        <w:pageBreakBefore w:val="0"/>
        <w:widowControl w:val="0"/>
        <w:numPr>
          <w:ilvl w:val="0"/>
          <w:numId w:val="20"/>
        </w:numPr>
        <w:kinsoku/>
        <w:wordWrap/>
        <w:overflowPunct/>
        <w:topLinePunct w:val="0"/>
        <w:autoSpaceDE/>
        <w:autoSpaceDN/>
        <w:bidi w:val="0"/>
        <w:adjustRightInd/>
        <w:snapToGrid/>
        <w:spacing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全套项目交付物，包括：冲击显色材料样品、相关试验件、试验大纲、原始数据及分析报告等。。</w:t>
      </w:r>
    </w:p>
    <w:p w14:paraId="7FE78D8E">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336D4D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18</w:t>
      </w:r>
      <w:r>
        <w:rPr>
          <w:rFonts w:hint="eastAsia" w:ascii="宋体" w:hAnsi="宋体" w:eastAsia="宋体" w:cs="宋体"/>
          <w:color w:val="000000"/>
          <w:sz w:val="24"/>
          <w:szCs w:val="24"/>
          <w:highlight w:val="none"/>
        </w:rPr>
        <w:t>个月</w:t>
      </w:r>
      <w:r>
        <w:rPr>
          <w:rFonts w:hint="eastAsia" w:ascii="宋体" w:hAnsi="宋体" w:eastAsia="宋体" w:cs="宋体"/>
          <w:color w:val="000000"/>
          <w:sz w:val="24"/>
          <w:szCs w:val="24"/>
          <w:highlight w:val="none"/>
          <w:lang w:eastAsia="zh-CN"/>
        </w:rPr>
        <w:t>。</w:t>
      </w:r>
    </w:p>
    <w:p w14:paraId="5BF42D8F">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3E540B7A">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50万元</w:t>
      </w:r>
      <w:r>
        <w:rPr>
          <w:rFonts w:hint="eastAsia" w:ascii="宋体" w:hAnsi="宋体" w:cs="宋体"/>
          <w:color w:val="000000"/>
          <w:sz w:val="24"/>
          <w:szCs w:val="24"/>
          <w:highlight w:val="none"/>
          <w:lang w:eastAsia="zh-CN"/>
        </w:rPr>
        <w:t>。</w:t>
      </w:r>
    </w:p>
    <w:p w14:paraId="6468EA2D">
      <w:pPr>
        <w:pStyle w:val="8"/>
        <w:pageBreakBefore w:val="0"/>
        <w:kinsoku/>
        <w:wordWrap/>
        <w:topLinePunct w:val="0"/>
        <w:autoSpaceDE/>
        <w:autoSpaceDN/>
        <w:bidi w:val="0"/>
        <w:spacing w:line="240" w:lineRule="auto"/>
        <w:rPr>
          <w:rFonts w:hint="eastAsia" w:ascii="宋体" w:hAnsi="宋体" w:eastAsia="宋体" w:cs="宋体"/>
          <w:color w:val="000000"/>
          <w:sz w:val="24"/>
          <w:szCs w:val="24"/>
          <w:highlight w:val="none"/>
        </w:rPr>
      </w:pPr>
    </w:p>
    <w:p w14:paraId="425BA2E8">
      <w:pPr>
        <w:pStyle w:val="8"/>
        <w:pageBreakBefore w:val="0"/>
        <w:kinsoku/>
        <w:wordWrap/>
        <w:topLinePunct w:val="0"/>
        <w:autoSpaceDE/>
        <w:autoSpaceDN/>
        <w:bidi w:val="0"/>
        <w:spacing w:line="240" w:lineRule="auto"/>
        <w:rPr>
          <w:rFonts w:hint="eastAsia" w:ascii="宋体" w:hAnsi="宋体" w:eastAsia="宋体" w:cs="宋体"/>
          <w:color w:val="000000"/>
          <w:sz w:val="24"/>
          <w:szCs w:val="24"/>
          <w:highlight w:val="none"/>
        </w:rPr>
      </w:pPr>
    </w:p>
    <w:p w14:paraId="2EEF9C29">
      <w:pPr>
        <w:pStyle w:val="8"/>
        <w:pageBreakBefore w:val="0"/>
        <w:kinsoku/>
        <w:wordWrap/>
        <w:topLinePunct w:val="0"/>
        <w:autoSpaceDE/>
        <w:autoSpaceDN/>
        <w:bidi w:val="0"/>
        <w:spacing w:line="240" w:lineRule="auto"/>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18E2D9D1">
      <w:pPr>
        <w:pStyle w:val="2"/>
        <w:pageBreakBefore w:val="0"/>
        <w:kinsoku/>
        <w:wordWrap/>
        <w:topLinePunct w:val="0"/>
        <w:autoSpaceDE/>
        <w:autoSpaceDN/>
        <w:bidi w:val="0"/>
        <w:spacing w:line="240" w:lineRule="auto"/>
        <w:rPr>
          <w:rFonts w:hint="eastAsia" w:eastAsia="宋体"/>
          <w:highlight w:val="none"/>
          <w:lang w:val="en-US" w:eastAsia="zh-CN"/>
        </w:rPr>
      </w:pPr>
      <w:bookmarkStart w:id="4" w:name="_Toc11598"/>
      <w:r>
        <w:rPr>
          <w:rFonts w:hint="eastAsia" w:eastAsia="宋体"/>
          <w:highlight w:val="none"/>
          <w:lang w:val="en-US" w:eastAsia="zh-CN"/>
        </w:rPr>
        <w:t>复合材料机身筒段自适应控制施力仿真及快速响应代理模型预测技术</w:t>
      </w:r>
      <w:bookmarkEnd w:id="4"/>
    </w:p>
    <w:p w14:paraId="19028302">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项目背景</w:t>
      </w:r>
    </w:p>
    <w:p w14:paraId="17D2C951">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ascii="Times New Roman" w:hAnsi="宋体" w:eastAsia="宋体" w:cs="Times New Roman"/>
          <w:bCs/>
          <w:sz w:val="24"/>
          <w:szCs w:val="24"/>
          <w:highlight w:val="none"/>
        </w:rPr>
      </w:pPr>
      <w:r>
        <w:rPr>
          <w:rFonts w:hint="eastAsia" w:ascii="Times New Roman" w:hAnsi="宋体" w:eastAsia="宋体" w:cs="Times New Roman"/>
          <w:bCs/>
          <w:sz w:val="24"/>
          <w:szCs w:val="24"/>
          <w:highlight w:val="none"/>
        </w:rPr>
        <w:t>复合材料因其轻质、高强度、耐腐蚀等优异性能，已成为航空航天装备生产等领域的核心材料。在飞机机身生产装配过程中，前中后机身筒段需要进行对接，由于生产工艺的差异，机身边缘存在形状不完全匹配的问题。复合材料筒段对接的装配质量关系到整体结构的承载能力与安全性。然而，在机身筒段对接过程中，由于材料各向异性、层间性能差异以及制造工艺的复杂性，易出现应力集中、局部变形超差等问题，导致结构性能下降。一旦超过材料本身的承受极限，将导致复材薄壁结构内部微裂纹的萌生与加速扩展，构成飞机安全风险。针对下一代复合材料飞机装配过程，迫切需要开发复合材料结构施力装配控制技术，搭建准确的预测模型，找到最佳装配方案，对提升装配效率、降低制造成本、保障装配质量具有重要意义。</w:t>
      </w:r>
    </w:p>
    <w:p w14:paraId="5DE02D72">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项目归属的重点专业领域</w:t>
      </w:r>
    </w:p>
    <w:p w14:paraId="7F0474BE">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bCs/>
          <w:sz w:val="24"/>
          <w:szCs w:val="24"/>
          <w:highlight w:val="none"/>
          <w:lang w:eastAsia="zh-CN"/>
        </w:rPr>
      </w:pPr>
      <w:r>
        <w:rPr>
          <w:rFonts w:hint="eastAsia" w:ascii="Times New Roman" w:hAnsi="宋体" w:eastAsia="宋体" w:cs="Times New Roman"/>
          <w:bCs/>
          <w:sz w:val="24"/>
          <w:szCs w:val="24"/>
          <w:highlight w:val="none"/>
        </w:rPr>
        <w:t>复材装配、仿真优</w:t>
      </w:r>
      <w:r>
        <w:rPr>
          <w:rFonts w:hint="eastAsia" w:hAnsi="宋体" w:cs="Times New Roman"/>
          <w:bCs/>
          <w:sz w:val="24"/>
          <w:szCs w:val="24"/>
          <w:highlight w:val="none"/>
          <w:lang w:eastAsia="zh-CN"/>
        </w:rPr>
        <w:t>、</w:t>
      </w:r>
      <w:r>
        <w:rPr>
          <w:rFonts w:hint="eastAsia" w:hAnsi="宋体"/>
          <w:bCs/>
          <w:szCs w:val="24"/>
          <w:highlight w:val="none"/>
        </w:rPr>
        <w:t>机器学习</w:t>
      </w:r>
    </w:p>
    <w:p w14:paraId="7507D8D8">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项目目标及技术指标</w:t>
      </w:r>
    </w:p>
    <w:p w14:paraId="2497112E">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b/>
          <w:sz w:val="24"/>
          <w:szCs w:val="24"/>
          <w:highlight w:val="none"/>
        </w:rPr>
      </w:pPr>
      <w:r>
        <w:rPr>
          <w:rFonts w:hint="eastAsia" w:ascii="Times New Roman" w:hAnsi="宋体" w:eastAsia="宋体" w:cs="Times New Roman"/>
          <w:b/>
          <w:sz w:val="24"/>
          <w:szCs w:val="24"/>
          <w:highlight w:val="none"/>
        </w:rPr>
        <w:t>项目目标：</w:t>
      </w:r>
    </w:p>
    <w:p w14:paraId="62F64CC1">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int="eastAsia" w:hAnsi="宋体"/>
          <w:bCs/>
          <w:szCs w:val="24"/>
          <w:highlight w:val="none"/>
        </w:rPr>
        <w:t>针对复合材料机身装配的质量控制问题，通过构建复合材料筒段变形有限元仿真模型，并在此基础上建立快速响应的机器学习预测代理模型，分析受力机身边缘的应力分布和变形规律，快速预测不同方案对结构性能的影响。针对仿真模型存在偏差的问题，通过物理实验获取真实数据，进行仿真模型校准，使输出结果更准确可靠。在此基础上采取先进的优化算法，探索并确定最优的对接参数和装配方案，提升复合材料筒段的装配效率和对接精度，提供一种高效、可靠的复合材料筒段对接装配质量控制技术方案。</w:t>
      </w:r>
    </w:p>
    <w:p w14:paraId="622147FE">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b/>
          <w:sz w:val="24"/>
          <w:szCs w:val="24"/>
          <w:highlight w:val="none"/>
        </w:rPr>
      </w:pPr>
      <w:r>
        <w:rPr>
          <w:rFonts w:hint="eastAsia" w:ascii="Times New Roman" w:hAnsi="宋体" w:eastAsia="宋体" w:cs="Times New Roman"/>
          <w:b/>
          <w:sz w:val="24"/>
          <w:szCs w:val="24"/>
          <w:highlight w:val="none"/>
        </w:rPr>
        <w:t>技术指标：</w:t>
      </w:r>
    </w:p>
    <w:p w14:paraId="607B7946">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Cs w:val="24"/>
          <w:highlight w:val="none"/>
        </w:rPr>
        <w:t>建立仿真模型并实施校准，在给定载荷组合下，模型预测关键点位移与应力和物理实验相对误差小于10</w:t>
      </w:r>
      <w:r>
        <w:rPr>
          <w:rFonts w:hAnsi="宋体"/>
          <w:szCs w:val="24"/>
          <w:highlight w:val="none"/>
        </w:rPr>
        <w:t>%</w:t>
      </w:r>
      <w:r>
        <w:rPr>
          <w:rFonts w:hint="eastAsia" w:hAnsi="宋体"/>
          <w:szCs w:val="24"/>
          <w:highlight w:val="none"/>
        </w:rPr>
        <w:t>。</w:t>
      </w:r>
    </w:p>
    <w:p w14:paraId="306D0080">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Cs w:val="24"/>
          <w:highlight w:val="none"/>
        </w:rPr>
        <w:t>构建代理模型预测装配精度，预测算法实现秒级计算，在与仿真模型误差小于10%的前提下，计算时间降低不低于90%。</w:t>
      </w:r>
    </w:p>
    <w:p w14:paraId="27FE950A">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主要研究内容</w:t>
      </w:r>
    </w:p>
    <w:p w14:paraId="6F98B0E3">
      <w:pPr>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0" w:firstLine="480" w:firstLineChars="200"/>
        <w:textAlignment w:val="auto"/>
        <w:outlineLvl w:val="9"/>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仿真模型校准的技术</w:t>
      </w:r>
    </w:p>
    <w:p w14:paraId="0B37B3C5">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int="eastAsia" w:hAnsi="宋体"/>
          <w:bCs/>
          <w:szCs w:val="24"/>
          <w:highlight w:val="none"/>
        </w:rPr>
        <w:t>复合材料筒段有限元仿真模型涉及复合材料铺层顺序与铺层角度、等效刚度参数、接触摩擦与接触刚度、定位与夹具约束刚度以及边界条件等多类参数，参数维数高。研究首先通过数据识别有限元仿真模型和物理实验数据存在偏差的来源，然后分析识别出灵敏变量，即仿真结果的输出影响最大的参数组合，最后通过调整关键变量，实现更精确的仿真和实验数据的拟合效果，获得校准良好的仿真模型。</w:t>
      </w:r>
    </w:p>
    <w:p w14:paraId="743231A2">
      <w:pPr>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0" w:firstLine="480" w:firstLineChars="200"/>
        <w:textAlignment w:val="auto"/>
        <w:outlineLvl w:val="9"/>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构建快速响应代理模型的预测技术</w:t>
      </w:r>
    </w:p>
    <w:p w14:paraId="016D17C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int="eastAsia" w:hAnsi="宋体"/>
          <w:bCs/>
          <w:szCs w:val="24"/>
          <w:highlight w:val="none"/>
        </w:rPr>
        <w:t>针对复合材料筒段变形的有限元模型维较高、计算慢、耗费计算资源高的问题，研究能够有效处理高维、非线性问题的代理模型，包括高斯过程、统计克里金和神经网络高斯过程等。基于超拉丁立方采样与主动学习相结合的策略构建自适应样本集，进行模型训练和参数优化，构建快速响应的代理模型，实现在给定载荷与边界条件下对复材筒段形变与应力响应的快速准确预测。</w:t>
      </w:r>
    </w:p>
    <w:p w14:paraId="058A70B6">
      <w:pPr>
        <w:keepNext w:val="0"/>
        <w:keepLines w:val="0"/>
        <w:pageBreakBefore w:val="0"/>
        <w:widowControl w:val="0"/>
        <w:numPr>
          <w:ilvl w:val="0"/>
          <w:numId w:val="23"/>
        </w:numPr>
        <w:kinsoku/>
        <w:wordWrap/>
        <w:overflowPunct/>
        <w:topLinePunct w:val="0"/>
        <w:autoSpaceDE/>
        <w:autoSpaceDN/>
        <w:bidi w:val="0"/>
        <w:adjustRightInd/>
        <w:snapToGrid/>
        <w:spacing w:after="0" w:line="240" w:lineRule="auto"/>
        <w:ind w:left="0" w:firstLine="480" w:firstLineChars="200"/>
        <w:textAlignment w:val="auto"/>
        <w:outlineLvl w:val="9"/>
        <w:rPr>
          <w:rFonts w:ascii="Times New Roman" w:hAnsi="宋体" w:eastAsia="宋体" w:cs="Times New Roman"/>
          <w:sz w:val="24"/>
          <w:szCs w:val="24"/>
          <w:highlight w:val="none"/>
        </w:rPr>
      </w:pPr>
      <w:r>
        <w:rPr>
          <w:rFonts w:hint="eastAsia" w:ascii="Times New Roman" w:hAnsi="宋体" w:eastAsia="宋体" w:cs="Times New Roman"/>
          <w:sz w:val="24"/>
          <w:szCs w:val="24"/>
          <w:highlight w:val="none"/>
        </w:rPr>
        <w:t>自适应控制施力组合优化的技术</w:t>
      </w:r>
    </w:p>
    <w:p w14:paraId="137AD7E8">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 w:hAnsi="仿宋" w:eastAsia="仿宋"/>
          <w:highlight w:val="none"/>
        </w:rPr>
      </w:pPr>
      <w:r>
        <w:rPr>
          <w:rFonts w:hint="eastAsia" w:hAnsi="宋体"/>
          <w:bCs/>
          <w:szCs w:val="24"/>
          <w:highlight w:val="none"/>
        </w:rPr>
        <w:t>开发适用于复杂非线性和非平稳过程的物理约束的贝叶斯优化算法，准确表示施力组合与筒段形变和应力之间的相应关系，构建目标函数从而计算出最佳装配质量控制组合。</w:t>
      </w:r>
    </w:p>
    <w:p w14:paraId="4A141D18">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预期成果</w:t>
      </w:r>
    </w:p>
    <w:p w14:paraId="2D9A6902">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Cs w:val="24"/>
          <w:highlight w:val="none"/>
        </w:rPr>
        <w:t>筒段形变仿真的高维模型校准及验证报告；</w:t>
      </w:r>
    </w:p>
    <w:p w14:paraId="63B189F1">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Cs w:val="24"/>
          <w:highlight w:val="none"/>
        </w:rPr>
        <w:t>高精度的快速响应代理模型及验证报告；</w:t>
      </w:r>
    </w:p>
    <w:p w14:paraId="257A43D1">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Cs w:val="24"/>
          <w:highlight w:val="none"/>
        </w:rPr>
        <w:t>机身筒段装配质量控制技术的模型和算法及使用说明书；</w:t>
      </w:r>
    </w:p>
    <w:p w14:paraId="4A45F935">
      <w:pPr>
        <w:keepNext w:val="0"/>
        <w:keepLines w:val="0"/>
        <w:pageBreakBefore w:val="0"/>
        <w:widowControl w:val="0"/>
        <w:numPr>
          <w:ilvl w:val="0"/>
          <w:numId w:val="24"/>
        </w:numPr>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Cs w:val="24"/>
          <w:highlight w:val="none"/>
        </w:rPr>
        <w:t>申报专利不少于2项。</w:t>
      </w:r>
    </w:p>
    <w:p w14:paraId="76960D52">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建议研究周期和启动时间</w:t>
      </w:r>
    </w:p>
    <w:p w14:paraId="3411AEF2">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ascii="Times New Roman" w:hAnsi="宋体" w:eastAsia="宋体" w:cs="Times New Roman"/>
          <w:bCs/>
          <w:sz w:val="24"/>
          <w:szCs w:val="24"/>
          <w:highlight w:val="none"/>
        </w:rPr>
      </w:pPr>
      <w:r>
        <w:rPr>
          <w:rFonts w:hint="eastAsia" w:hAnsi="宋体" w:cs="Times New Roman"/>
          <w:bCs/>
          <w:sz w:val="24"/>
          <w:szCs w:val="24"/>
          <w:highlight w:val="none"/>
          <w:lang w:val="en-US" w:eastAsia="zh-CN"/>
        </w:rPr>
        <w:t>18</w:t>
      </w:r>
      <w:r>
        <w:rPr>
          <w:rFonts w:hint="eastAsia" w:ascii="Times New Roman" w:hAnsi="宋体" w:eastAsia="宋体" w:cs="Times New Roman"/>
          <w:bCs/>
          <w:sz w:val="24"/>
          <w:szCs w:val="24"/>
          <w:highlight w:val="none"/>
        </w:rPr>
        <w:t>个月。</w:t>
      </w:r>
    </w:p>
    <w:p w14:paraId="40961780">
      <w:pPr>
        <w:keepNext w:val="0"/>
        <w:keepLines w:val="0"/>
        <w:pageBreakBefore w:val="0"/>
        <w:widowControl w:val="0"/>
        <w:numPr>
          <w:ilvl w:val="0"/>
          <w:numId w:val="21"/>
        </w:numPr>
        <w:kinsoku/>
        <w:wordWrap/>
        <w:overflowPunct/>
        <w:topLinePunct w:val="0"/>
        <w:autoSpaceDE/>
        <w:autoSpaceDN/>
        <w:bidi w:val="0"/>
        <w:adjustRightInd/>
        <w:snapToGrid/>
        <w:spacing w:after="0" w:line="240" w:lineRule="auto"/>
        <w:ind w:left="0"/>
        <w:textAlignment w:val="auto"/>
        <w:outlineLvl w:val="9"/>
        <w:rPr>
          <w:rFonts w:ascii="Times New Roman" w:hAnsi="黑体" w:eastAsia="黑体" w:cs="Times New Roman"/>
          <w:sz w:val="24"/>
          <w:szCs w:val="22"/>
          <w:highlight w:val="none"/>
        </w:rPr>
      </w:pPr>
      <w:r>
        <w:rPr>
          <w:rFonts w:hint="eastAsia" w:ascii="Times New Roman" w:hAnsi="黑体" w:eastAsia="黑体" w:cs="Times New Roman"/>
          <w:sz w:val="24"/>
          <w:szCs w:val="22"/>
          <w:highlight w:val="none"/>
        </w:rPr>
        <w:t>所需研究经费</w:t>
      </w:r>
    </w:p>
    <w:p w14:paraId="3947D7C9">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ascii="Times New Roman" w:hAnsi="宋体" w:eastAsia="宋体" w:cs="Times New Roman"/>
          <w:bCs/>
          <w:sz w:val="24"/>
          <w:szCs w:val="24"/>
          <w:highlight w:val="none"/>
        </w:rPr>
      </w:pPr>
      <w:r>
        <w:rPr>
          <w:rFonts w:hint="eastAsia" w:ascii="Times New Roman" w:hAnsi="宋体" w:eastAsia="宋体" w:cs="Times New Roman"/>
          <w:bCs/>
          <w:sz w:val="24"/>
          <w:szCs w:val="24"/>
          <w:highlight w:val="none"/>
        </w:rPr>
        <w:t>5</w:t>
      </w:r>
      <w:r>
        <w:rPr>
          <w:rFonts w:ascii="Times New Roman" w:hAnsi="宋体" w:eastAsia="宋体" w:cs="Times New Roman"/>
          <w:bCs/>
          <w:sz w:val="24"/>
          <w:szCs w:val="24"/>
          <w:highlight w:val="none"/>
        </w:rPr>
        <w:t>0</w:t>
      </w:r>
      <w:r>
        <w:rPr>
          <w:rFonts w:hint="eastAsia" w:ascii="Times New Roman" w:hAnsi="宋体" w:eastAsia="宋体" w:cs="Times New Roman"/>
          <w:bCs/>
          <w:sz w:val="24"/>
          <w:szCs w:val="24"/>
          <w:highlight w:val="none"/>
        </w:rPr>
        <w:t>万元。</w:t>
      </w:r>
    </w:p>
    <w:p w14:paraId="6F757BBD">
      <w:pPr>
        <w:pStyle w:val="8"/>
        <w:pageBreakBefore w:val="0"/>
        <w:kinsoku/>
        <w:wordWrap/>
        <w:topLinePunct w:val="0"/>
        <w:autoSpaceDE/>
        <w:autoSpaceDN/>
        <w:bidi w:val="0"/>
        <w:spacing w:line="240" w:lineRule="auto"/>
        <w:rPr>
          <w:rFonts w:hint="eastAsia"/>
          <w:highlight w:val="none"/>
          <w:lang w:val="en-US" w:eastAsia="zh-CN"/>
        </w:rPr>
      </w:pPr>
    </w:p>
    <w:p w14:paraId="4623FB82">
      <w:pPr>
        <w:pStyle w:val="8"/>
        <w:pageBreakBefore w:val="0"/>
        <w:kinsoku/>
        <w:wordWrap/>
        <w:topLinePunct w:val="0"/>
        <w:autoSpaceDE/>
        <w:autoSpaceDN/>
        <w:bidi w:val="0"/>
        <w:spacing w:line="240" w:lineRule="auto"/>
        <w:rPr>
          <w:rFonts w:hint="eastAsia"/>
          <w:highlight w:val="none"/>
          <w:lang w:val="en-US" w:eastAsia="zh-CN"/>
        </w:rPr>
      </w:pPr>
    </w:p>
    <w:p w14:paraId="203A0F5E">
      <w:pPr>
        <w:pStyle w:val="8"/>
        <w:pageBreakBefore w:val="0"/>
        <w:kinsoku/>
        <w:wordWrap/>
        <w:topLinePunct w:val="0"/>
        <w:autoSpaceDE/>
        <w:autoSpaceDN/>
        <w:bidi w:val="0"/>
        <w:spacing w:line="240" w:lineRule="auto"/>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51695ABC">
      <w:pPr>
        <w:pStyle w:val="2"/>
        <w:pageBreakBefore w:val="0"/>
        <w:kinsoku/>
        <w:wordWrap/>
        <w:topLinePunct w:val="0"/>
        <w:autoSpaceDE/>
        <w:autoSpaceDN/>
        <w:bidi w:val="0"/>
        <w:spacing w:line="240" w:lineRule="auto"/>
        <w:rPr>
          <w:rFonts w:hint="eastAsia" w:eastAsia="宋体"/>
          <w:highlight w:val="none"/>
          <w:lang w:val="en-US" w:eastAsia="zh-CN"/>
        </w:rPr>
      </w:pPr>
      <w:bookmarkStart w:id="5" w:name="_Toc29692"/>
      <w:bookmarkStart w:id="6" w:name="OLE_LINK277"/>
      <w:r>
        <w:rPr>
          <w:rFonts w:hint="eastAsia" w:eastAsia="宋体"/>
          <w:highlight w:val="none"/>
          <w:lang w:val="en-US" w:eastAsia="zh-CN"/>
        </w:rPr>
        <w:t>基于次生应力波的复合材料结构冲击损伤实时监测与诊断技术</w:t>
      </w:r>
      <w:bookmarkEnd w:id="5"/>
    </w:p>
    <w:bookmarkEnd w:id="6"/>
    <w:p w14:paraId="0D462E72">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418F8656">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压电导波传感技术是最具潜力的飞行器复合材料结构健康监测技术之一，国内外基于分布式薄膜式导波传感技术开发了各类冲击监测和损伤诊断软硬件系统和产品，并在飞行器上开展了应用验证。但目前压电导波传感技术面临实际飞行环境中信噪比低、损伤状态快速评估难、易出现虚警、维护和更换难等问题。复合材料在冲击致损萌生阶段，基体、纤维及界面产生裂纹、脱粘、分层等损伤，会激发多频段、宽频域次生应力波，利用此物理新机制可以实现冲击致损全过程监测。因此，如何利用次生应力波设计可维护与可拆卸的冲击损伤监测传感器，并利用高可靠传感器实现复合材料结构冲击损伤全过程监测，是将现有技术从地面试验阶段提升到服役应用级别的可行路径。</w:t>
      </w:r>
    </w:p>
    <w:p w14:paraId="1893D971">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6E8CC0D1">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复材设计</w:t>
      </w:r>
    </w:p>
    <w:p w14:paraId="7E91D0C7">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5382651A">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项目目标： </w:t>
      </w:r>
    </w:p>
    <w:p w14:paraId="3DC4011E">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为了突破国产大飞机复合材料结构设计和运维阶段冲击致损监测面临的信噪比低、布设空间受限和损伤表征困难等瓶颈，具体目标如下：</w:t>
      </w:r>
    </w:p>
    <w:p w14:paraId="18380B58">
      <w:pPr>
        <w:pStyle w:val="16"/>
        <w:pageBreakBefore w:val="0"/>
        <w:numPr>
          <w:ilvl w:val="0"/>
          <w:numId w:val="26"/>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开发适合大型航空复材结构冲击损伤监测的高灵敏、宽频、耐久的主被动一体化压电簇式传感阵列；</w:t>
      </w:r>
    </w:p>
    <w:p w14:paraId="5C115612">
      <w:pPr>
        <w:pStyle w:val="16"/>
        <w:pageBreakBefore w:val="0"/>
        <w:numPr>
          <w:ilvl w:val="0"/>
          <w:numId w:val="26"/>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阐明冲击致损下结构宏微观损伤特征、次生应力波与非线性波动响应关联关系；</w:t>
      </w:r>
    </w:p>
    <w:p w14:paraId="05C0114A">
      <w:pPr>
        <w:pStyle w:val="16"/>
        <w:pageBreakBefore w:val="0"/>
        <w:numPr>
          <w:ilvl w:val="0"/>
          <w:numId w:val="26"/>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cs="宋体"/>
          <w:color w:val="000000"/>
          <w:szCs w:val="24"/>
          <w:highlight w:val="none"/>
        </w:rPr>
        <w:t>实现模拟飞行服役</w:t>
      </w:r>
      <w:r>
        <w:rPr>
          <w:rFonts w:hint="eastAsia" w:ascii="宋体" w:hAnsi="宋体" w:cs="宋体"/>
          <w:color w:val="000000"/>
          <w:szCs w:val="24"/>
          <w:highlight w:val="none"/>
          <w:lang w:eastAsia="zh-CN"/>
        </w:rPr>
        <w:t>疲劳加载</w:t>
      </w:r>
      <w:r>
        <w:rPr>
          <w:rFonts w:hint="eastAsia" w:ascii="宋体" w:hAnsi="宋体" w:cs="宋体"/>
          <w:color w:val="000000"/>
          <w:szCs w:val="24"/>
          <w:highlight w:val="none"/>
        </w:rPr>
        <w:t>环境下复合材料结构冲击致损及演化全过程状态监测，为航空复合材料结构设计和运维阶段应用提供支持。</w:t>
      </w:r>
    </w:p>
    <w:p w14:paraId="353BDBF6">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31E0A00B">
      <w:pPr>
        <w:pStyle w:val="16"/>
        <w:pageBreakBefore w:val="0"/>
        <w:numPr>
          <w:ilvl w:val="0"/>
          <w:numId w:val="27"/>
        </w:numPr>
        <w:kinsoku/>
        <w:wordWrap/>
        <w:topLinePunct w:val="0"/>
        <w:autoSpaceDE/>
        <w:autoSpaceDN/>
        <w:bidi w:val="0"/>
        <w:spacing w:after="0"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标准化可拆卸、可维护的簇式冲击损伤监测传感器，诊断信号激发能量相比于薄膜式压电传感器阵列提升100%以上；</w:t>
      </w:r>
    </w:p>
    <w:p w14:paraId="179555EC">
      <w:pPr>
        <w:pStyle w:val="16"/>
        <w:pageBreakBefore w:val="0"/>
        <w:numPr>
          <w:ilvl w:val="0"/>
          <w:numId w:val="27"/>
        </w:numPr>
        <w:kinsoku/>
        <w:wordWrap/>
        <w:topLinePunct w:val="0"/>
        <w:autoSpaceDE/>
        <w:autoSpaceDN/>
        <w:bidi w:val="0"/>
        <w:spacing w:after="0"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簇式传感器采集信号频率拓宽到300kHz以上；</w:t>
      </w:r>
    </w:p>
    <w:p w14:paraId="35014AFB">
      <w:pPr>
        <w:pStyle w:val="16"/>
        <w:pageBreakBefore w:val="0"/>
        <w:numPr>
          <w:ilvl w:val="0"/>
          <w:numId w:val="27"/>
        </w:numPr>
        <w:kinsoku/>
        <w:wordWrap/>
        <w:topLinePunct w:val="0"/>
        <w:autoSpaceDE/>
        <w:autoSpaceDN/>
        <w:bidi w:val="0"/>
        <w:spacing w:after="0" w:line="240" w:lineRule="auto"/>
        <w:ind w:firstLineChars="0"/>
        <w:textAlignment w:val="center"/>
        <w:rPr>
          <w:rFonts w:hint="eastAsia" w:ascii="宋体" w:hAnsi="宋体" w:cs="宋体"/>
          <w:color w:val="000000"/>
          <w:szCs w:val="24"/>
          <w:highlight w:val="none"/>
        </w:rPr>
      </w:pPr>
      <w:r>
        <w:rPr>
          <w:rFonts w:hint="eastAsia" w:ascii="宋体" w:hAnsi="宋体" w:cs="宋体"/>
          <w:color w:val="000000"/>
          <w:szCs w:val="24"/>
          <w:highlight w:val="none"/>
        </w:rPr>
        <w:t>实现</w:t>
      </w:r>
      <w:r>
        <w:rPr>
          <w:rFonts w:hint="eastAsia" w:ascii="宋体" w:hAnsi="宋体" w:eastAsia="宋体" w:cs="宋体"/>
          <w:color w:val="000000"/>
          <w:sz w:val="24"/>
          <w:szCs w:val="24"/>
          <w:highlight w:val="none"/>
        </w:rPr>
        <w:t>地面试验和</w:t>
      </w:r>
      <w:r>
        <w:rPr>
          <w:rFonts w:hint="eastAsia" w:ascii="宋体" w:hAnsi="宋体" w:cs="宋体"/>
          <w:color w:val="000000"/>
          <w:szCs w:val="24"/>
          <w:highlight w:val="none"/>
        </w:rPr>
        <w:t>模拟飞行服役</w:t>
      </w:r>
      <w:r>
        <w:rPr>
          <w:rFonts w:hint="eastAsia" w:ascii="宋体" w:hAnsi="宋体" w:cs="宋体"/>
          <w:color w:val="000000"/>
          <w:szCs w:val="24"/>
          <w:highlight w:val="none"/>
          <w:lang w:eastAsia="zh-CN"/>
        </w:rPr>
        <w:t>疲劳加载</w:t>
      </w:r>
      <w:r>
        <w:rPr>
          <w:rFonts w:hint="eastAsia" w:ascii="宋体" w:hAnsi="宋体" w:cs="宋体"/>
          <w:color w:val="000000"/>
          <w:szCs w:val="24"/>
          <w:highlight w:val="none"/>
        </w:rPr>
        <w:t>环境下传感系统稳定运行和对冲击信号90%以上的覆盖性监测，冲击定位相对误差≤10%（相对误差为绝对误差与最大传感器间距的比值），可以识别复合材料结构内部分层面积≥100mm</w:t>
      </w:r>
      <w:r>
        <w:rPr>
          <w:rFonts w:hint="eastAsia" w:ascii="宋体" w:hAnsi="宋体" w:cs="宋体"/>
          <w:color w:val="000000"/>
          <w:szCs w:val="24"/>
          <w:highlight w:val="none"/>
          <w:vertAlign w:val="superscript"/>
        </w:rPr>
        <w:t>2</w:t>
      </w:r>
      <w:r>
        <w:rPr>
          <w:rFonts w:hint="eastAsia" w:ascii="宋体" w:hAnsi="宋体" w:cs="宋体"/>
          <w:color w:val="000000"/>
          <w:szCs w:val="24"/>
          <w:highlight w:val="none"/>
        </w:rPr>
        <w:t>的损伤；</w:t>
      </w:r>
    </w:p>
    <w:p w14:paraId="44E4B857">
      <w:pPr>
        <w:pStyle w:val="16"/>
        <w:pageBreakBefore w:val="0"/>
        <w:numPr>
          <w:ilvl w:val="0"/>
          <w:numId w:val="27"/>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cs="宋体"/>
          <w:color w:val="000000"/>
          <w:szCs w:val="24"/>
          <w:highlight w:val="none"/>
        </w:rPr>
        <w:t>技术成熟度达到TRL5级。</w:t>
      </w:r>
    </w:p>
    <w:p w14:paraId="7ED681EF">
      <w:pPr>
        <w:pStyle w:val="16"/>
        <w:pageBreakBefore w:val="0"/>
        <w:numPr>
          <w:ilvl w:val="0"/>
          <w:numId w:val="0"/>
        </w:numPr>
        <w:kinsoku/>
        <w:wordWrap/>
        <w:topLinePunct w:val="0"/>
        <w:autoSpaceDE/>
        <w:autoSpaceDN/>
        <w:bidi w:val="0"/>
        <w:spacing w:after="0" w:line="240" w:lineRule="auto"/>
        <w:ind w:left="420" w:leftChars="0"/>
        <w:textAlignment w:val="center"/>
        <w:rPr>
          <w:rFonts w:hint="eastAsia" w:ascii="宋体" w:hAnsi="宋体" w:eastAsia="宋体" w:cs="宋体"/>
          <w:color w:val="000000"/>
          <w:sz w:val="24"/>
          <w:szCs w:val="24"/>
          <w:highlight w:val="none"/>
        </w:rPr>
      </w:pPr>
    </w:p>
    <w:p w14:paraId="29826A19">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473A5C10">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拟解决的关键技术</w:t>
      </w:r>
    </w:p>
    <w:p w14:paraId="5B67A0D6">
      <w:pPr>
        <w:pStyle w:val="16"/>
        <w:pageBreakBefore w:val="0"/>
        <w:numPr>
          <w:ilvl w:val="0"/>
          <w:numId w:val="10"/>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bookmarkStart w:id="7" w:name="OLE_LINK276"/>
      <w:r>
        <w:rPr>
          <w:rFonts w:hint="eastAsia" w:ascii="宋体" w:hAnsi="宋体" w:eastAsia="宋体" w:cs="宋体"/>
          <w:color w:val="000000"/>
          <w:sz w:val="24"/>
          <w:szCs w:val="24"/>
          <w:highlight w:val="none"/>
        </w:rPr>
        <w:t>面向高衰减、大面积的典型航空复合材料结构，发展压电换能器机电等效电路模型，实现多谐振峰压电堆叠换能器设计，突破</w:t>
      </w:r>
      <w:bookmarkStart w:id="8" w:name="_Hlk198122596"/>
      <w:r>
        <w:rPr>
          <w:rFonts w:hint="eastAsia" w:ascii="宋体" w:hAnsi="宋体" w:eastAsia="宋体" w:cs="宋体"/>
          <w:color w:val="000000"/>
          <w:sz w:val="24"/>
          <w:szCs w:val="24"/>
          <w:highlight w:val="none"/>
        </w:rPr>
        <w:t>主被动一体化宽频簇式传感阵列网络多目标协同优化</w:t>
      </w:r>
      <w:bookmarkEnd w:id="8"/>
      <w:r>
        <w:rPr>
          <w:rFonts w:hint="eastAsia" w:ascii="宋体" w:hAnsi="宋体" w:eastAsia="宋体" w:cs="宋体"/>
          <w:color w:val="000000"/>
          <w:sz w:val="24"/>
          <w:szCs w:val="24"/>
          <w:highlight w:val="none"/>
        </w:rPr>
        <w:t>技术；</w:t>
      </w:r>
    </w:p>
    <w:p w14:paraId="64385881">
      <w:pPr>
        <w:pStyle w:val="16"/>
        <w:pageBreakBefore w:val="0"/>
        <w:numPr>
          <w:ilvl w:val="0"/>
          <w:numId w:val="10"/>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考虑复合材料宏观波传播和细观损伤结构特征，建立复合材料结构宏细观一体的非线性波动响应分析多尺度有限元模型，突破</w:t>
      </w:r>
      <w:bookmarkStart w:id="9" w:name="OLE_LINK279"/>
      <w:r>
        <w:rPr>
          <w:rFonts w:hint="eastAsia" w:ascii="宋体" w:hAnsi="宋体" w:eastAsia="宋体" w:cs="宋体"/>
          <w:color w:val="000000"/>
          <w:sz w:val="24"/>
          <w:szCs w:val="24"/>
          <w:highlight w:val="none"/>
        </w:rPr>
        <w:t>冲击致损宽频次生应力波和主动非线性导波传播的精细化建模与高效分析技术</w:t>
      </w:r>
      <w:bookmarkEnd w:id="9"/>
      <w:r>
        <w:rPr>
          <w:rFonts w:hint="eastAsia" w:ascii="宋体" w:hAnsi="宋体" w:eastAsia="宋体" w:cs="宋体"/>
          <w:color w:val="000000"/>
          <w:sz w:val="24"/>
          <w:szCs w:val="24"/>
          <w:highlight w:val="none"/>
        </w:rPr>
        <w:t>；</w:t>
      </w:r>
    </w:p>
    <w:p w14:paraId="4D593F2F">
      <w:pPr>
        <w:pStyle w:val="16"/>
        <w:pageBreakBefore w:val="0"/>
        <w:numPr>
          <w:ilvl w:val="0"/>
          <w:numId w:val="10"/>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发展簇式传感网络下的各向异性波束成形和多频率融合的被动冲击定位算法，通过构建冲击致损下损伤指标与次生应力波响应映射关系研究冲击损伤快速识别方法，突破</w:t>
      </w:r>
      <w:bookmarkStart w:id="10" w:name="OLE_LINK278"/>
      <w:r>
        <w:rPr>
          <w:rFonts w:hint="eastAsia" w:ascii="宋体" w:hAnsi="宋体" w:eastAsia="宋体" w:cs="宋体"/>
          <w:color w:val="000000"/>
          <w:sz w:val="24"/>
          <w:szCs w:val="24"/>
          <w:highlight w:val="none"/>
        </w:rPr>
        <w:t>基于簇式传感阵列的复合材料结构冲击损伤主被动协同诊断技术</w:t>
      </w:r>
      <w:bookmarkEnd w:id="10"/>
      <w:r>
        <w:rPr>
          <w:rFonts w:hint="eastAsia" w:ascii="宋体" w:hAnsi="宋体" w:eastAsia="宋体" w:cs="宋体"/>
          <w:color w:val="000000"/>
          <w:sz w:val="24"/>
          <w:szCs w:val="24"/>
          <w:highlight w:val="none"/>
        </w:rPr>
        <w:t>；</w:t>
      </w:r>
    </w:p>
    <w:p w14:paraId="6803F760">
      <w:pPr>
        <w:pStyle w:val="16"/>
        <w:pageBreakBefore w:val="0"/>
        <w:numPr>
          <w:ilvl w:val="0"/>
          <w:numId w:val="10"/>
        </w:numPr>
        <w:kinsoku/>
        <w:wordWrap/>
        <w:topLinePunct w:val="0"/>
        <w:autoSpaceDE/>
        <w:autoSpaceDN/>
        <w:bidi w:val="0"/>
        <w:spacing w:after="0" w:line="240" w:lineRule="auto"/>
        <w:ind w:firstLineChars="0"/>
        <w:textAlignment w:val="center"/>
        <w:rPr>
          <w:rFonts w:hint="eastAsia" w:ascii="宋体" w:hAnsi="宋体" w:eastAsia="宋体" w:cs="宋体"/>
          <w:color w:val="000000"/>
          <w:sz w:val="24"/>
          <w:szCs w:val="24"/>
          <w:highlight w:val="none"/>
        </w:rPr>
      </w:pPr>
      <w:r>
        <w:rPr>
          <w:rFonts w:hint="eastAsia" w:ascii="宋体" w:hAnsi="宋体" w:cs="宋体"/>
          <w:color w:val="000000"/>
          <w:szCs w:val="24"/>
          <w:highlight w:val="none"/>
        </w:rPr>
        <w:t>研发集成簇式传感-冲击致损监测算法-在线冲击监测软硬件系统一体化的被动式超声导波冲击监测系统，开展模拟飞行</w:t>
      </w:r>
      <w:r>
        <w:rPr>
          <w:rFonts w:hint="eastAsia" w:ascii="宋体" w:hAnsi="宋体" w:cs="宋体"/>
          <w:color w:val="000000"/>
          <w:szCs w:val="24"/>
          <w:highlight w:val="none"/>
          <w:lang w:eastAsia="zh-CN"/>
        </w:rPr>
        <w:t>疲劳加载</w:t>
      </w:r>
      <w:r>
        <w:rPr>
          <w:rFonts w:hint="eastAsia" w:ascii="宋体" w:hAnsi="宋体" w:cs="宋体"/>
          <w:color w:val="000000"/>
          <w:szCs w:val="24"/>
          <w:highlight w:val="none"/>
        </w:rPr>
        <w:t>环境下冲击损伤监测系统可靠性与稳定性验证，实现模拟飞行下飞机复合材料典型结构冲击损伤监测与诊断。</w:t>
      </w:r>
    </w:p>
    <w:p w14:paraId="297B6BCB">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bookmarkEnd w:id="7"/>
    <w:p w14:paraId="6644DF4C">
      <w:pPr>
        <w:pageBreakBefore w:val="0"/>
        <w:kinsoku/>
        <w:wordWrap/>
        <w:topLinePunct w:val="0"/>
        <w:autoSpaceDE/>
        <w:autoSpaceDN/>
        <w:bidi w:val="0"/>
        <w:spacing w:after="0" w:line="240" w:lineRule="auto"/>
        <w:ind w:firstLine="480" w:firstLineChars="2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专家评审、第三方专业检测机构检测、专利获得受理通知书或者授权证书</w:t>
      </w:r>
      <w:r>
        <w:rPr>
          <w:rFonts w:hint="eastAsia" w:ascii="宋体" w:hAnsi="宋体" w:eastAsia="宋体" w:cs="宋体"/>
          <w:color w:val="000000"/>
          <w:sz w:val="24"/>
          <w:szCs w:val="24"/>
          <w:highlight w:val="none"/>
          <w:lang w:eastAsia="zh-CN"/>
        </w:rPr>
        <w:t>。</w:t>
      </w:r>
    </w:p>
    <w:p w14:paraId="62BA1343">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02AD591C">
      <w:pPr>
        <w:pageBreakBefore w:val="0"/>
        <w:widowControl/>
        <w:numPr>
          <w:ilvl w:val="0"/>
          <w:numId w:val="28"/>
        </w:numPr>
        <w:kinsoku/>
        <w:wordWrap/>
        <w:topLinePunct w:val="0"/>
        <w:autoSpaceDE/>
        <w:autoSpaceDN/>
        <w:bidi w:val="0"/>
        <w:spacing w:line="240" w:lineRule="auto"/>
        <w:ind w:left="0" w:firstLine="480" w:firstLineChars="200"/>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复合材料典型结构冲击监测示范应用样件不少于2件；</w:t>
      </w:r>
    </w:p>
    <w:p w14:paraId="67C88832">
      <w:pPr>
        <w:pageBreakBefore w:val="0"/>
        <w:widowControl/>
        <w:numPr>
          <w:ilvl w:val="0"/>
          <w:numId w:val="28"/>
        </w:numPr>
        <w:kinsoku/>
        <w:wordWrap/>
        <w:topLinePunct w:val="0"/>
        <w:autoSpaceDE/>
        <w:autoSpaceDN/>
        <w:bidi w:val="0"/>
        <w:spacing w:line="240" w:lineRule="auto"/>
        <w:ind w:left="0" w:firstLine="480" w:firstLineChars="200"/>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冲击致损识别与评估程序1套；</w:t>
      </w:r>
    </w:p>
    <w:p w14:paraId="0EF7DFDF">
      <w:pPr>
        <w:pageBreakBefore w:val="0"/>
        <w:widowControl/>
        <w:numPr>
          <w:ilvl w:val="0"/>
          <w:numId w:val="28"/>
        </w:numPr>
        <w:kinsoku/>
        <w:wordWrap/>
        <w:topLinePunct w:val="0"/>
        <w:autoSpaceDE/>
        <w:autoSpaceDN/>
        <w:bidi w:val="0"/>
        <w:spacing w:line="240" w:lineRule="auto"/>
        <w:ind w:left="0" w:firstLine="480" w:firstLineChars="200"/>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发明专利不少于1项：提交技术交底书；</w:t>
      </w:r>
    </w:p>
    <w:p w14:paraId="1B5E2F7D">
      <w:pPr>
        <w:pageBreakBefore w:val="0"/>
        <w:widowControl/>
        <w:numPr>
          <w:ilvl w:val="0"/>
          <w:numId w:val="28"/>
        </w:numPr>
        <w:kinsoku/>
        <w:wordWrap/>
        <w:topLinePunct w:val="0"/>
        <w:autoSpaceDE/>
        <w:autoSpaceDN/>
        <w:bidi w:val="0"/>
        <w:spacing w:line="240" w:lineRule="auto"/>
        <w:ind w:left="0" w:firstLine="480" w:firstLineChars="200"/>
        <w:rPr>
          <w:rFonts w:hint="eastAsia" w:ascii="宋体" w:hAnsi="宋体" w:eastAsia="宋体" w:cs="宋体"/>
          <w:bCs w:val="0"/>
          <w:color w:val="000000"/>
          <w:sz w:val="24"/>
          <w:szCs w:val="24"/>
          <w:highlight w:val="none"/>
        </w:rPr>
      </w:pPr>
      <w:r>
        <w:rPr>
          <w:rFonts w:hint="eastAsia" w:ascii="宋体" w:hAnsi="宋体" w:eastAsia="宋体" w:cs="宋体"/>
          <w:bCs w:val="0"/>
          <w:color w:val="000000"/>
          <w:sz w:val="24"/>
          <w:szCs w:val="24"/>
          <w:highlight w:val="none"/>
        </w:rPr>
        <w:t>发表核心期刊及以上学术论文不少于1篇；</w:t>
      </w:r>
    </w:p>
    <w:p w14:paraId="71ADFAB9">
      <w:pPr>
        <w:pageBreakBefore w:val="0"/>
        <w:widowControl/>
        <w:numPr>
          <w:ilvl w:val="0"/>
          <w:numId w:val="28"/>
        </w:numPr>
        <w:kinsoku/>
        <w:wordWrap/>
        <w:topLinePunct w:val="0"/>
        <w:autoSpaceDE/>
        <w:autoSpaceDN/>
        <w:bidi w:val="0"/>
        <w:spacing w:after="0" w:line="240" w:lineRule="auto"/>
        <w:ind w:left="0" w:firstLine="480" w:firstLineChars="200"/>
        <w:textAlignment w:val="center"/>
        <w:rPr>
          <w:rFonts w:hint="eastAsia" w:ascii="宋体" w:hAnsi="宋体" w:eastAsia="宋体" w:cs="宋体"/>
          <w:color w:val="000000"/>
          <w:sz w:val="24"/>
          <w:szCs w:val="24"/>
          <w:highlight w:val="none"/>
        </w:rPr>
      </w:pPr>
      <w:r>
        <w:rPr>
          <w:rFonts w:hint="eastAsia" w:ascii="宋体" w:hAnsi="宋体" w:eastAsia="宋体" w:cs="宋体"/>
          <w:bCs w:val="0"/>
          <w:color w:val="000000"/>
          <w:sz w:val="24"/>
          <w:szCs w:val="24"/>
          <w:highlight w:val="none"/>
        </w:rPr>
        <w:t>相关技术报告、工艺指南等</w:t>
      </w:r>
      <w:r>
        <w:rPr>
          <w:rFonts w:hint="eastAsia" w:ascii="宋体" w:hAnsi="宋体" w:cs="宋体"/>
          <w:bCs w:val="0"/>
          <w:color w:val="000000"/>
          <w:sz w:val="24"/>
          <w:szCs w:val="24"/>
          <w:highlight w:val="none"/>
          <w:lang w:eastAsia="zh-CN"/>
        </w:rPr>
        <w:t>至少</w:t>
      </w:r>
      <w:r>
        <w:rPr>
          <w:rFonts w:hint="eastAsia" w:ascii="宋体" w:hAnsi="宋体" w:cs="宋体"/>
          <w:bCs w:val="0"/>
          <w:color w:val="000000"/>
          <w:sz w:val="24"/>
          <w:szCs w:val="24"/>
          <w:highlight w:val="none"/>
          <w:lang w:val="en-US" w:eastAsia="zh-CN"/>
        </w:rPr>
        <w:t>5篇</w:t>
      </w:r>
      <w:r>
        <w:rPr>
          <w:rFonts w:hint="eastAsia" w:ascii="宋体" w:hAnsi="宋体" w:eastAsia="宋体" w:cs="宋体"/>
          <w:bCs w:val="0"/>
          <w:color w:val="000000"/>
          <w:sz w:val="24"/>
          <w:szCs w:val="24"/>
          <w:highlight w:val="none"/>
        </w:rPr>
        <w:t>。</w:t>
      </w:r>
    </w:p>
    <w:p w14:paraId="4046A569">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092C5802">
      <w:pPr>
        <w:pageBreakBefore w:val="0"/>
        <w:kinsoku/>
        <w:wordWrap/>
        <w:topLinePunct w:val="0"/>
        <w:autoSpaceDE/>
        <w:autoSpaceDN/>
        <w:bidi w:val="0"/>
        <w:spacing w:line="24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24个月</w:t>
      </w:r>
      <w:r>
        <w:rPr>
          <w:rFonts w:hint="eastAsia" w:ascii="宋体" w:hAnsi="宋体" w:eastAsia="宋体" w:cs="宋体"/>
          <w:bCs/>
          <w:sz w:val="24"/>
          <w:szCs w:val="24"/>
          <w:highlight w:val="none"/>
          <w:lang w:eastAsia="zh-CN"/>
        </w:rPr>
        <w:t>。</w:t>
      </w:r>
    </w:p>
    <w:p w14:paraId="651CF5FA">
      <w:pPr>
        <w:pageBreakBefore w:val="0"/>
        <w:numPr>
          <w:ilvl w:val="0"/>
          <w:numId w:val="25"/>
        </w:numPr>
        <w:kinsoku/>
        <w:wordWrap/>
        <w:topLinePunct w:val="0"/>
        <w:autoSpaceDE/>
        <w:autoSpaceDN/>
        <w:bidi w:val="0"/>
        <w:spacing w:after="0"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4EC62D38">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50万元。</w:t>
      </w:r>
    </w:p>
    <w:p w14:paraId="685491B6">
      <w:pPr>
        <w:pStyle w:val="8"/>
        <w:pageBreakBefore w:val="0"/>
        <w:kinsoku/>
        <w:wordWrap/>
        <w:topLinePunct w:val="0"/>
        <w:autoSpaceDE/>
        <w:autoSpaceDN/>
        <w:bidi w:val="0"/>
        <w:spacing w:line="240" w:lineRule="auto"/>
        <w:rPr>
          <w:rFonts w:hint="eastAsia"/>
          <w:highlight w:val="none"/>
          <w:lang w:val="en-US" w:eastAsia="zh-CN"/>
        </w:rPr>
      </w:pPr>
    </w:p>
    <w:p w14:paraId="481F3735">
      <w:pPr>
        <w:pStyle w:val="8"/>
        <w:pageBreakBefore w:val="0"/>
        <w:kinsoku/>
        <w:wordWrap/>
        <w:topLinePunct w:val="0"/>
        <w:autoSpaceDE/>
        <w:autoSpaceDN/>
        <w:bidi w:val="0"/>
        <w:spacing w:line="240" w:lineRule="auto"/>
        <w:rPr>
          <w:rFonts w:hint="eastAsia"/>
          <w:highlight w:val="none"/>
          <w:lang w:val="en-US" w:eastAsia="zh-CN"/>
        </w:rPr>
      </w:pPr>
    </w:p>
    <w:p w14:paraId="352E5479">
      <w:pPr>
        <w:pStyle w:val="8"/>
        <w:pageBreakBefore w:val="0"/>
        <w:kinsoku/>
        <w:wordWrap/>
        <w:topLinePunct w:val="0"/>
        <w:autoSpaceDE/>
        <w:autoSpaceDN/>
        <w:bidi w:val="0"/>
        <w:spacing w:line="240" w:lineRule="auto"/>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58A03AED">
      <w:pPr>
        <w:pStyle w:val="2"/>
        <w:ind w:left="0" w:leftChars="0" w:right="0" w:rightChars="0" w:firstLine="0" w:firstLineChars="0"/>
        <w:jc w:val="center"/>
        <w:rPr>
          <w:highlight w:val="none"/>
        </w:rPr>
      </w:pPr>
      <w:bookmarkStart w:id="11" w:name="_Toc2317"/>
      <w:r>
        <w:rPr>
          <w:rFonts w:hint="eastAsia"/>
          <w:highlight w:val="none"/>
        </w:rPr>
        <w:t>飞机内饰非金属材料表面金属化和光亮电镀技术研究</w:t>
      </w:r>
      <w:bookmarkEnd w:id="11"/>
    </w:p>
    <w:p w14:paraId="36E6B499">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项目背景</w:t>
      </w:r>
    </w:p>
    <w:p w14:paraId="072217A6">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Ansi="宋体"/>
          <w:bCs/>
          <w:sz w:val="24"/>
          <w:szCs w:val="24"/>
          <w:highlight w:val="none"/>
        </w:rPr>
        <w:t>随着航空工业对民机轻量化、燃油效率、设计美学及功能集成化要求的不断提升，非金属材料在飞机内饰，如反光镜、面板、装饰条、把手等中的应用日益广泛。聚碳酸酯（PC）因其优异的抗冲击性、高透明度（可选）、尺寸稳定性、耐热性及易加工成型等特点，成为内饰件的理想基材之一。然而，传统金属内饰件具有独特的金属质感、高档装饰效果以及电磁屏蔽等功能性需求，是PC等非金属材料难以直接满足的。通过表面金属化及光亮电镀技术赋予PC以金属外观和功能属性，成为实现内饰件轻量化和高端化并存的关键路径，然而PC材料表面惰性高、光滑致密，与金属镀层结合力差，传统电镀前处理对PC有侵蚀风险，且飞机内饰件</w:t>
      </w:r>
      <w:r>
        <w:rPr>
          <w:rFonts w:hint="eastAsia" w:hAnsi="宋体"/>
          <w:bCs/>
          <w:sz w:val="24"/>
          <w:szCs w:val="24"/>
          <w:highlight w:val="none"/>
        </w:rPr>
        <w:t>高光亮、高反射镜面难以通过普通PVD或喷涂实现，因此，开发一种适用于PC基材、高性能且实现光亮镀铬效果的新型表面金属化和电镀技术具有重大意义</w:t>
      </w:r>
      <w:r>
        <w:rPr>
          <w:rFonts w:hAnsi="宋体"/>
          <w:bCs/>
          <w:sz w:val="24"/>
          <w:szCs w:val="24"/>
          <w:highlight w:val="none"/>
        </w:rPr>
        <w:t>。</w:t>
      </w:r>
    </w:p>
    <w:p w14:paraId="1541839B">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项目归属的重点专业领域</w:t>
      </w:r>
    </w:p>
    <w:p w14:paraId="6BC6A6E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bCs/>
          <w:szCs w:val="24"/>
          <w:highlight w:val="none"/>
        </w:rPr>
      </w:pPr>
      <w:r>
        <w:rPr>
          <w:rFonts w:hAnsi="宋体"/>
          <w:bCs/>
          <w:sz w:val="24"/>
          <w:szCs w:val="24"/>
          <w:highlight w:val="none"/>
        </w:rPr>
        <w:t>热工艺</w:t>
      </w:r>
    </w:p>
    <w:p w14:paraId="0ECB17BF">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项目目标及技术指标</w:t>
      </w:r>
    </w:p>
    <w:p w14:paraId="57A2AF2A">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szCs w:val="24"/>
          <w:highlight w:val="none"/>
        </w:rPr>
      </w:pPr>
      <w:r>
        <w:rPr>
          <w:rFonts w:hAnsi="宋体"/>
          <w:b/>
          <w:sz w:val="24"/>
          <w:szCs w:val="24"/>
          <w:highlight w:val="none"/>
        </w:rPr>
        <w:t>项目目标：</w:t>
      </w:r>
    </w:p>
    <w:p w14:paraId="33CC21F2">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int="eastAsia" w:hAnsi="宋体"/>
          <w:bCs/>
          <w:sz w:val="24"/>
          <w:szCs w:val="24"/>
          <w:highlight w:val="none"/>
        </w:rPr>
        <w:t>基于民用飞机内饰件绿色高效可持续发展的需求，开发适用于工程塑料PC的表面金属化及光亮镀铬工艺，实现金属化层与基材的高结合力、优异装饰性、良好的防护性</w:t>
      </w:r>
      <w:r>
        <w:rPr>
          <w:rFonts w:hAnsi="宋体"/>
          <w:bCs/>
          <w:sz w:val="24"/>
          <w:szCs w:val="24"/>
          <w:highlight w:val="none"/>
        </w:rPr>
        <w:t>。</w:t>
      </w:r>
    </w:p>
    <w:p w14:paraId="5AC483EA">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b/>
          <w:szCs w:val="24"/>
          <w:highlight w:val="none"/>
        </w:rPr>
      </w:pPr>
      <w:r>
        <w:rPr>
          <w:rFonts w:hAnsi="宋体"/>
          <w:b/>
          <w:sz w:val="24"/>
          <w:szCs w:val="24"/>
          <w:highlight w:val="none"/>
        </w:rPr>
        <w:t>技术指标：</w:t>
      </w:r>
    </w:p>
    <w:p w14:paraId="461FDFB1">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480" w:firstLineChars="200"/>
        <w:textAlignment w:val="auto"/>
        <w:rPr>
          <w:rFonts w:hAnsi="宋体"/>
          <w:sz w:val="24"/>
          <w:szCs w:val="24"/>
          <w:highlight w:val="none"/>
        </w:rPr>
      </w:pPr>
      <w:r>
        <w:rPr>
          <w:rFonts w:hAnsi="宋体"/>
          <w:sz w:val="24"/>
          <w:szCs w:val="24"/>
          <w:highlight w:val="none"/>
        </w:rPr>
        <w:t>金属层与塑料层结合力：按ASTM</w:t>
      </w:r>
      <w:r>
        <w:rPr>
          <w:rFonts w:hint="eastAsia" w:hAnsi="宋体"/>
          <w:sz w:val="24"/>
          <w:szCs w:val="24"/>
          <w:highlight w:val="none"/>
        </w:rPr>
        <w:t xml:space="preserve"> D 3359，</w:t>
      </w:r>
      <w:r>
        <w:rPr>
          <w:rFonts w:hAnsi="宋体"/>
          <w:sz w:val="24"/>
          <w:szCs w:val="24"/>
          <w:highlight w:val="none"/>
        </w:rPr>
        <w:t>金属层与塑料基材结合力≥</w:t>
      </w:r>
      <w:r>
        <w:rPr>
          <w:rFonts w:hint="eastAsia" w:hAnsi="宋体"/>
          <w:sz w:val="24"/>
          <w:szCs w:val="24"/>
          <w:highlight w:val="none"/>
        </w:rPr>
        <w:t>10 MPa，划痕后90%以上镀层无脱落；</w:t>
      </w:r>
    </w:p>
    <w:p w14:paraId="11CAB8EC">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480" w:firstLineChars="200"/>
        <w:textAlignment w:val="auto"/>
        <w:rPr>
          <w:rFonts w:hAnsi="宋体"/>
          <w:sz w:val="24"/>
          <w:szCs w:val="24"/>
          <w:highlight w:val="none"/>
        </w:rPr>
      </w:pPr>
      <w:r>
        <w:rPr>
          <w:rFonts w:hAnsi="宋体"/>
          <w:sz w:val="24"/>
          <w:szCs w:val="24"/>
          <w:highlight w:val="none"/>
        </w:rPr>
        <w:t>多层镀层结合力：按GB</w:t>
      </w:r>
      <w:r>
        <w:rPr>
          <w:rFonts w:hint="eastAsia" w:hAnsi="宋体"/>
          <w:sz w:val="24"/>
          <w:szCs w:val="24"/>
          <w:highlight w:val="none"/>
        </w:rPr>
        <w:t>/T 12600-2005进行</w:t>
      </w:r>
      <w:r>
        <w:rPr>
          <w:rFonts w:hAnsi="宋体"/>
          <w:sz w:val="24"/>
          <w:szCs w:val="24"/>
          <w:highlight w:val="none"/>
        </w:rPr>
        <w:t>热循环测试，无开裂或分层</w:t>
      </w:r>
      <w:r>
        <w:rPr>
          <w:rFonts w:hint="eastAsia" w:hAnsi="宋体"/>
          <w:sz w:val="24"/>
          <w:szCs w:val="24"/>
          <w:highlight w:val="none"/>
        </w:rPr>
        <w:t>；</w:t>
      </w:r>
    </w:p>
    <w:p w14:paraId="0DCEF522">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480" w:firstLineChars="200"/>
        <w:textAlignment w:val="auto"/>
        <w:rPr>
          <w:rFonts w:hint="eastAsia" w:hAnsi="宋体"/>
          <w:sz w:val="24"/>
          <w:szCs w:val="24"/>
          <w:highlight w:val="none"/>
        </w:rPr>
      </w:pPr>
      <w:r>
        <w:rPr>
          <w:rFonts w:hint="eastAsia" w:hAnsi="宋体"/>
          <w:sz w:val="24"/>
          <w:szCs w:val="24"/>
          <w:highlight w:val="none"/>
        </w:rPr>
        <w:t>外观：电镀后表面达到镜面高光效果（光泽度＞70 GU）。</w:t>
      </w:r>
    </w:p>
    <w:p w14:paraId="3EDCFAAC">
      <w:pPr>
        <w:keepNext w:val="0"/>
        <w:keepLines w:val="0"/>
        <w:pageBreakBefore w:val="0"/>
        <w:widowControl w:val="0"/>
        <w:numPr>
          <w:ilvl w:val="0"/>
          <w:numId w:val="22"/>
        </w:numPr>
        <w:kinsoku/>
        <w:wordWrap/>
        <w:overflowPunct/>
        <w:topLinePunct w:val="0"/>
        <w:autoSpaceDE/>
        <w:autoSpaceDN/>
        <w:bidi w:val="0"/>
        <w:adjustRightInd/>
        <w:snapToGrid/>
        <w:spacing w:line="240" w:lineRule="auto"/>
        <w:ind w:firstLine="480" w:firstLineChars="200"/>
        <w:textAlignment w:val="auto"/>
        <w:rPr>
          <w:rFonts w:hAnsi="宋体"/>
          <w:sz w:val="24"/>
          <w:szCs w:val="24"/>
          <w:highlight w:val="none"/>
        </w:rPr>
      </w:pPr>
      <w:r>
        <w:rPr>
          <w:rFonts w:hint="eastAsia" w:hAnsi="宋体"/>
          <w:sz w:val="24"/>
          <w:szCs w:val="24"/>
          <w:highlight w:val="none"/>
        </w:rPr>
        <w:t>技术成熟度从TRL3级提升至TRL5级。</w:t>
      </w:r>
    </w:p>
    <w:p w14:paraId="6EF7CF33">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主要研究内容</w:t>
      </w:r>
    </w:p>
    <w:p w14:paraId="2D7F315E">
      <w:pPr>
        <w:keepNext w:val="0"/>
        <w:keepLines w:val="0"/>
        <w:pageBreakBefore w:val="0"/>
        <w:widowControl w:val="0"/>
        <w:tabs>
          <w:tab w:val="left" w:pos="420"/>
        </w:tabs>
        <w:kinsoku/>
        <w:wordWrap/>
        <w:overflowPunct/>
        <w:topLinePunct w:val="0"/>
        <w:autoSpaceDE/>
        <w:autoSpaceDN/>
        <w:bidi w:val="0"/>
        <w:adjustRightInd/>
        <w:snapToGrid/>
        <w:spacing w:line="240" w:lineRule="auto"/>
        <w:ind w:firstLine="480"/>
        <w:textAlignment w:val="auto"/>
        <w:rPr>
          <w:rFonts w:hAnsi="宋体"/>
          <w:szCs w:val="24"/>
          <w:highlight w:val="none"/>
        </w:rPr>
      </w:pPr>
      <w:r>
        <w:rPr>
          <w:rFonts w:hint="eastAsia" w:hAnsi="宋体"/>
          <w:sz w:val="24"/>
          <w:szCs w:val="24"/>
          <w:highlight w:val="none"/>
        </w:rPr>
        <w:t>1）PC基材表面改性预处理技术研究</w:t>
      </w:r>
    </w:p>
    <w:p w14:paraId="03915D4D">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Ansi="宋体"/>
          <w:bCs/>
          <w:sz w:val="24"/>
          <w:szCs w:val="24"/>
          <w:highlight w:val="none"/>
        </w:rPr>
        <w:t>探究多种PC基材微蚀</w:t>
      </w:r>
      <w:r>
        <w:rPr>
          <w:rFonts w:hint="eastAsia" w:hAnsi="宋体"/>
          <w:bCs/>
          <w:sz w:val="24"/>
          <w:szCs w:val="24"/>
          <w:highlight w:val="none"/>
        </w:rPr>
        <w:t>/活化表面改性预处理工艺体系</w:t>
      </w:r>
      <w:r>
        <w:rPr>
          <w:rFonts w:hAnsi="宋体"/>
          <w:bCs/>
          <w:sz w:val="24"/>
          <w:szCs w:val="24"/>
          <w:highlight w:val="none"/>
        </w:rPr>
        <w:t>，通过光学轮廓仪、SEM</w:t>
      </w:r>
      <w:r>
        <w:rPr>
          <w:rFonts w:hint="eastAsia" w:hAnsi="宋体"/>
          <w:bCs/>
          <w:sz w:val="24"/>
          <w:szCs w:val="24"/>
          <w:highlight w:val="none"/>
        </w:rPr>
        <w:t>、XPS、XRD等研究PC</w:t>
      </w:r>
      <w:r>
        <w:rPr>
          <w:rFonts w:hAnsi="宋体"/>
          <w:bCs/>
          <w:sz w:val="24"/>
          <w:szCs w:val="24"/>
          <w:highlight w:val="none"/>
        </w:rPr>
        <w:t>材料表面化学键的定向刻蚀行为，揭示微孔刻蚀机理，建立温度和时间对表面粗糙度的量化模型，获得适用于PC基材的</w:t>
      </w:r>
      <w:r>
        <w:rPr>
          <w:rFonts w:hint="eastAsia" w:hAnsi="宋体"/>
          <w:sz w:val="24"/>
          <w:szCs w:val="24"/>
          <w:highlight w:val="none"/>
        </w:rPr>
        <w:t>表面改性预处理技术</w:t>
      </w:r>
      <w:r>
        <w:rPr>
          <w:rFonts w:hAnsi="宋体"/>
          <w:bCs/>
          <w:sz w:val="24"/>
          <w:szCs w:val="24"/>
          <w:highlight w:val="none"/>
        </w:rPr>
        <w:t>。</w:t>
      </w:r>
    </w:p>
    <w:p w14:paraId="0FB7069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int="eastAsia" w:hAnsi="宋体"/>
          <w:bCs/>
          <w:sz w:val="24"/>
          <w:szCs w:val="24"/>
          <w:highlight w:val="none"/>
        </w:rPr>
        <w:t>2）高结合力金属化关键技术与</w:t>
      </w:r>
      <w:r>
        <w:rPr>
          <w:rFonts w:hint="eastAsia" w:hAnsi="宋体"/>
          <w:sz w:val="24"/>
          <w:szCs w:val="24"/>
          <w:highlight w:val="none"/>
        </w:rPr>
        <w:t>工艺研究</w:t>
      </w:r>
    </w:p>
    <w:p w14:paraId="4F6D722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Ansi="宋体"/>
          <w:bCs/>
          <w:sz w:val="24"/>
          <w:szCs w:val="24"/>
          <w:highlight w:val="none"/>
        </w:rPr>
        <w:t>开展高结合力金属化工艺对PC材料尺寸稳定性和热变形控制研究，消除内应力，针对</w:t>
      </w:r>
      <w:r>
        <w:rPr>
          <w:rFonts w:hint="eastAsia" w:hAnsi="宋体"/>
          <w:sz w:val="24"/>
          <w:szCs w:val="24"/>
          <w:highlight w:val="none"/>
        </w:rPr>
        <w:t>PC基材表面改性预处理技术，</w:t>
      </w:r>
      <w:r>
        <w:rPr>
          <w:rFonts w:hAnsi="宋体"/>
          <w:bCs/>
          <w:sz w:val="24"/>
          <w:szCs w:val="24"/>
          <w:highlight w:val="none"/>
        </w:rPr>
        <w:t>优选与PC材料适配良好的金属化工艺，如化学镀镍，探究工艺边界和极限性能，稳定实现金属化功能。</w:t>
      </w:r>
    </w:p>
    <w:p w14:paraId="1EBD20B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rFonts w:hint="eastAsia" w:hAnsi="宋体"/>
          <w:bCs/>
          <w:sz w:val="24"/>
          <w:szCs w:val="24"/>
          <w:highlight w:val="none"/>
        </w:rPr>
        <w:t>3）光亮镀铬效果实现与功能优化技术研究</w:t>
      </w:r>
    </w:p>
    <w:p w14:paraId="43D98A33">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bCs/>
          <w:szCs w:val="24"/>
          <w:highlight w:val="none"/>
        </w:rPr>
      </w:pPr>
      <w:r>
        <w:rPr>
          <w:rFonts w:hAnsi="宋体"/>
          <w:bCs/>
          <w:sz w:val="24"/>
          <w:szCs w:val="24"/>
          <w:highlight w:val="none"/>
        </w:rPr>
        <w:t>开展非金属材料金属化后与CPS电镀规范适用性研究，针对PC基材应用场景，开展多层镀层光泽度、表面防护、耐久性、耐蚀性等全面性能验证，针对镀铬外观和表面微裂纹开展研究。</w:t>
      </w:r>
    </w:p>
    <w:p w14:paraId="15B2E2F7">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预期成果</w:t>
      </w:r>
    </w:p>
    <w:p w14:paraId="500F884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bCs/>
          <w:sz w:val="24"/>
          <w:szCs w:val="24"/>
          <w:highlight w:val="none"/>
        </w:rPr>
        <w:t>1</w:t>
      </w:r>
      <w:r>
        <w:rPr>
          <w:rFonts w:hAnsi="宋体"/>
          <w:bCs/>
          <w:sz w:val="24"/>
          <w:szCs w:val="24"/>
          <w:highlight w:val="none"/>
        </w:rPr>
        <w:t>）非金属材料表面金属化和光亮电镀技术研发报告</w:t>
      </w:r>
      <w:r>
        <w:rPr>
          <w:rFonts w:hint="eastAsia" w:hAnsi="宋体"/>
          <w:bCs/>
          <w:sz w:val="24"/>
          <w:szCs w:val="24"/>
          <w:highlight w:val="none"/>
        </w:rPr>
        <w:t>1份</w:t>
      </w:r>
      <w:r>
        <w:rPr>
          <w:rFonts w:hAnsi="宋体"/>
          <w:bCs/>
          <w:sz w:val="24"/>
          <w:szCs w:val="24"/>
          <w:highlight w:val="none"/>
        </w:rPr>
        <w:t>；</w:t>
      </w:r>
    </w:p>
    <w:p w14:paraId="4F05E70C">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Ansi="宋体"/>
          <w:bCs/>
          <w:szCs w:val="24"/>
          <w:highlight w:val="none"/>
        </w:rPr>
      </w:pPr>
      <w:r>
        <w:rPr>
          <w:bCs/>
          <w:sz w:val="24"/>
          <w:szCs w:val="24"/>
          <w:highlight w:val="none"/>
        </w:rPr>
        <w:t>2</w:t>
      </w:r>
      <w:r>
        <w:rPr>
          <w:rFonts w:hAnsi="宋体"/>
          <w:bCs/>
          <w:sz w:val="24"/>
          <w:szCs w:val="24"/>
          <w:highlight w:val="none"/>
        </w:rPr>
        <w:t>）工程塑料（PC）电镀工艺研发、验证报告各</w:t>
      </w:r>
      <w:r>
        <w:rPr>
          <w:rFonts w:hint="eastAsia" w:hAnsi="宋体"/>
          <w:bCs/>
          <w:sz w:val="24"/>
          <w:szCs w:val="24"/>
          <w:highlight w:val="none"/>
        </w:rPr>
        <w:t>1份</w:t>
      </w:r>
      <w:r>
        <w:rPr>
          <w:rFonts w:hAnsi="宋体"/>
          <w:bCs/>
          <w:sz w:val="24"/>
          <w:szCs w:val="24"/>
          <w:highlight w:val="none"/>
        </w:rPr>
        <w:t>；</w:t>
      </w:r>
    </w:p>
    <w:p w14:paraId="71D4744B">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bCs/>
          <w:szCs w:val="24"/>
          <w:highlight w:val="none"/>
        </w:rPr>
      </w:pPr>
      <w:r>
        <w:rPr>
          <w:rFonts w:hint="eastAsia" w:hAnsi="宋体"/>
          <w:bCs/>
          <w:sz w:val="24"/>
          <w:szCs w:val="24"/>
          <w:highlight w:val="none"/>
        </w:rPr>
        <w:t>3）工程</w:t>
      </w:r>
      <w:r>
        <w:rPr>
          <w:rFonts w:hAnsi="宋体"/>
          <w:bCs/>
          <w:sz w:val="24"/>
          <w:szCs w:val="24"/>
          <w:highlight w:val="none"/>
        </w:rPr>
        <w:t>塑料（PC）电镀工艺规范初稿</w:t>
      </w:r>
      <w:r>
        <w:rPr>
          <w:rFonts w:hint="eastAsia" w:hAnsi="宋体"/>
          <w:bCs/>
          <w:sz w:val="24"/>
          <w:szCs w:val="24"/>
          <w:highlight w:val="none"/>
        </w:rPr>
        <w:t>1份</w:t>
      </w:r>
      <w:r>
        <w:rPr>
          <w:rFonts w:hAnsi="宋体"/>
          <w:bCs/>
          <w:sz w:val="24"/>
          <w:szCs w:val="24"/>
          <w:highlight w:val="none"/>
        </w:rPr>
        <w:t>；</w:t>
      </w:r>
    </w:p>
    <w:p w14:paraId="3B256059">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bCs/>
          <w:szCs w:val="24"/>
          <w:highlight w:val="none"/>
        </w:rPr>
      </w:pPr>
      <w:r>
        <w:rPr>
          <w:rFonts w:hint="eastAsia"/>
          <w:bCs/>
          <w:sz w:val="24"/>
          <w:szCs w:val="24"/>
          <w:highlight w:val="none"/>
        </w:rPr>
        <w:t>4</w:t>
      </w:r>
      <w:r>
        <w:rPr>
          <w:rFonts w:hAnsi="宋体"/>
          <w:bCs/>
          <w:sz w:val="24"/>
          <w:szCs w:val="24"/>
          <w:highlight w:val="none"/>
        </w:rPr>
        <w:t>）典型件</w:t>
      </w:r>
      <w:r>
        <w:rPr>
          <w:rFonts w:hint="eastAsia" w:hAnsi="宋体"/>
          <w:bCs/>
          <w:sz w:val="24"/>
          <w:szCs w:val="24"/>
          <w:highlight w:val="none"/>
        </w:rPr>
        <w:t>4件</w:t>
      </w:r>
      <w:r>
        <w:rPr>
          <w:rFonts w:hAnsi="宋体"/>
          <w:bCs/>
          <w:sz w:val="24"/>
          <w:szCs w:val="24"/>
          <w:highlight w:val="none"/>
        </w:rPr>
        <w:t>。</w:t>
      </w:r>
    </w:p>
    <w:p w14:paraId="60217CB4">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建议研究周期和启动时间</w:t>
      </w:r>
    </w:p>
    <w:p w14:paraId="777FC9BA">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bCs/>
          <w:szCs w:val="24"/>
          <w:highlight w:val="none"/>
        </w:rPr>
      </w:pPr>
      <w:r>
        <w:rPr>
          <w:bCs/>
          <w:sz w:val="24"/>
          <w:szCs w:val="24"/>
          <w:highlight w:val="none"/>
        </w:rPr>
        <w:t>24</w:t>
      </w:r>
      <w:r>
        <w:rPr>
          <w:rFonts w:hAnsi="宋体"/>
          <w:bCs/>
          <w:sz w:val="24"/>
          <w:szCs w:val="24"/>
          <w:highlight w:val="none"/>
        </w:rPr>
        <w:t>个月。</w:t>
      </w:r>
    </w:p>
    <w:p w14:paraId="7739C603">
      <w:pPr>
        <w:keepNext w:val="0"/>
        <w:keepLines w:val="0"/>
        <w:pageBreakBefore w:val="0"/>
        <w:widowControl w:val="0"/>
        <w:numPr>
          <w:ilvl w:val="0"/>
          <w:numId w:val="29"/>
        </w:numPr>
        <w:kinsoku/>
        <w:wordWrap/>
        <w:overflowPunct/>
        <w:topLinePunct w:val="0"/>
        <w:autoSpaceDE/>
        <w:autoSpaceDN/>
        <w:bidi w:val="0"/>
        <w:adjustRightInd/>
        <w:snapToGrid/>
        <w:spacing w:line="240" w:lineRule="auto"/>
        <w:ind w:left="0" w:firstLine="480" w:firstLineChars="200"/>
        <w:textAlignment w:val="auto"/>
        <w:rPr>
          <w:rFonts w:eastAsia="黑体"/>
          <w:highlight w:val="none"/>
        </w:rPr>
      </w:pPr>
      <w:r>
        <w:rPr>
          <w:rFonts w:hAnsi="黑体" w:eastAsia="黑体"/>
          <w:sz w:val="24"/>
          <w:highlight w:val="none"/>
        </w:rPr>
        <w:t>所需研究经费</w:t>
      </w:r>
    </w:p>
    <w:p w14:paraId="3C584D8A">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outlineLvl w:val="9"/>
        <w:rPr>
          <w:rFonts w:hAnsi="宋体"/>
          <w:bCs/>
          <w:sz w:val="24"/>
          <w:szCs w:val="24"/>
          <w:highlight w:val="none"/>
        </w:rPr>
      </w:pPr>
      <w:r>
        <w:rPr>
          <w:bCs/>
          <w:sz w:val="24"/>
          <w:szCs w:val="24"/>
          <w:highlight w:val="none"/>
        </w:rPr>
        <w:t>50</w:t>
      </w:r>
      <w:r>
        <w:rPr>
          <w:rFonts w:hAnsi="宋体"/>
          <w:bCs/>
          <w:sz w:val="24"/>
          <w:szCs w:val="24"/>
          <w:highlight w:val="none"/>
        </w:rPr>
        <w:t>万元。</w:t>
      </w:r>
    </w:p>
    <w:p w14:paraId="798F5111">
      <w:pPr>
        <w:pStyle w:val="8"/>
        <w:pageBreakBefore w:val="0"/>
        <w:kinsoku/>
        <w:wordWrap/>
        <w:topLinePunct w:val="0"/>
        <w:autoSpaceDE/>
        <w:autoSpaceDN/>
        <w:bidi w:val="0"/>
        <w:spacing w:line="240" w:lineRule="auto"/>
        <w:rPr>
          <w:rFonts w:hAnsi="宋体"/>
          <w:bCs/>
          <w:sz w:val="24"/>
          <w:szCs w:val="24"/>
          <w:highlight w:val="none"/>
        </w:rPr>
      </w:pPr>
    </w:p>
    <w:p w14:paraId="344F932A">
      <w:pPr>
        <w:pStyle w:val="8"/>
        <w:pageBreakBefore w:val="0"/>
        <w:kinsoku/>
        <w:wordWrap/>
        <w:topLinePunct w:val="0"/>
        <w:autoSpaceDE/>
        <w:autoSpaceDN/>
        <w:bidi w:val="0"/>
        <w:spacing w:line="240" w:lineRule="auto"/>
        <w:rPr>
          <w:rFonts w:hAnsi="宋体"/>
          <w:bCs/>
          <w:sz w:val="24"/>
          <w:szCs w:val="24"/>
          <w:highlight w:val="none"/>
        </w:rPr>
      </w:pPr>
    </w:p>
    <w:p w14:paraId="57B6B7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9"/>
        <w:rPr>
          <w:rFonts w:eastAsia="黑体"/>
          <w:sz w:val="24"/>
          <w:highlight w:val="none"/>
        </w:rPr>
        <w:sectPr>
          <w:pgSz w:w="11906" w:h="16838"/>
          <w:pgMar w:top="1440" w:right="1800" w:bottom="1440" w:left="1800" w:header="851" w:footer="992" w:gutter="0"/>
          <w:cols w:space="425" w:num="1"/>
          <w:docGrid w:type="lines" w:linePitch="312" w:charSpace="0"/>
        </w:sectPr>
      </w:pPr>
    </w:p>
    <w:p w14:paraId="4DA21DFD">
      <w:pPr>
        <w:pStyle w:val="2"/>
        <w:pageBreakBefore w:val="0"/>
        <w:kinsoku/>
        <w:wordWrap/>
        <w:overflowPunct/>
        <w:topLinePunct w:val="0"/>
        <w:autoSpaceDE/>
        <w:autoSpaceDN/>
        <w:bidi w:val="0"/>
        <w:adjustRightInd/>
        <w:snapToGrid/>
        <w:spacing w:line="240" w:lineRule="auto"/>
        <w:rPr>
          <w:rFonts w:hint="eastAsia" w:ascii="Times New Roman" w:hAnsi="Times New Roman" w:eastAsia="宋体" w:cs="Times New Roman"/>
          <w:highlight w:val="none"/>
          <w:lang w:val="en-US" w:eastAsia="zh-CN"/>
        </w:rPr>
      </w:pPr>
      <w:bookmarkStart w:id="12" w:name="_Toc20989"/>
      <w:r>
        <w:rPr>
          <w:rFonts w:hint="eastAsia" w:ascii="Times New Roman" w:hAnsi="Times New Roman" w:eastAsia="宋体" w:cs="Times New Roman"/>
          <w:highlight w:val="none"/>
          <w:lang w:val="en-US" w:eastAsia="zh-CN"/>
        </w:rPr>
        <w:t>面向飞机结构件的精准激光冲击强化技术研究</w:t>
      </w:r>
      <w:bookmarkEnd w:id="12"/>
    </w:p>
    <w:p w14:paraId="66E904AA">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项目背景</w:t>
      </w:r>
    </w:p>
    <w:p w14:paraId="641CEB5E">
      <w:pPr>
        <w:pageBreakBefore w:val="0"/>
        <w:kinsoku/>
        <w:wordWrap/>
        <w:overflowPunct/>
        <w:topLinePunct w:val="0"/>
        <w:autoSpaceDE/>
        <w:autoSpaceDN/>
        <w:bidi w:val="0"/>
        <w:adjustRightInd/>
        <w:snapToGrid/>
        <w:spacing w:line="240" w:lineRule="auto"/>
        <w:ind w:firstLine="480" w:firstLineChars="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激光冲击强化是一种先进的金属材料表面强化技术，</w:t>
      </w:r>
      <w:r>
        <w:rPr>
          <w:rFonts w:hint="eastAsia" w:ascii="宋体" w:hAnsi="宋体" w:eastAsia="宋体" w:cs="宋体"/>
          <w:color w:val="000000"/>
          <w:sz w:val="24"/>
          <w:szCs w:val="24"/>
          <w:highlight w:val="none"/>
        </w:rPr>
        <w:t>相对于传统机械喷丸强化方法具有</w:t>
      </w:r>
      <w:r>
        <w:rPr>
          <w:rFonts w:hint="eastAsia" w:ascii="宋体" w:hAnsi="宋体" w:eastAsia="宋体" w:cs="宋体"/>
          <w:color w:val="000000"/>
          <w:sz w:val="24"/>
          <w:szCs w:val="24"/>
          <w:highlight w:val="none"/>
          <w:lang w:eastAsia="zh-CN"/>
        </w:rPr>
        <w:t>定位指向精确、</w:t>
      </w:r>
      <w:r>
        <w:rPr>
          <w:rFonts w:hint="eastAsia" w:ascii="宋体" w:hAnsi="宋体" w:eastAsia="宋体" w:cs="宋体"/>
          <w:color w:val="000000"/>
          <w:sz w:val="24"/>
          <w:szCs w:val="24"/>
          <w:highlight w:val="none"/>
        </w:rPr>
        <w:t>强化层深、表面</w:t>
      </w:r>
      <w:r>
        <w:rPr>
          <w:rFonts w:hint="eastAsia" w:ascii="宋体" w:hAnsi="宋体" w:eastAsia="宋体" w:cs="宋体"/>
          <w:color w:val="000000"/>
          <w:sz w:val="24"/>
          <w:szCs w:val="24"/>
          <w:highlight w:val="none"/>
          <w:lang w:eastAsia="zh-CN"/>
        </w:rPr>
        <w:t>完整性好</w:t>
      </w:r>
      <w:r>
        <w:rPr>
          <w:rFonts w:hint="eastAsia" w:ascii="宋体" w:hAnsi="宋体" w:eastAsia="宋体" w:cs="宋体"/>
          <w:color w:val="000000"/>
          <w:sz w:val="24"/>
          <w:szCs w:val="24"/>
          <w:highlight w:val="none"/>
        </w:rPr>
        <w:t>等优点</w:t>
      </w:r>
      <w:r>
        <w:rPr>
          <w:rFonts w:hint="eastAsia" w:ascii="宋体" w:hAnsi="宋体" w:cs="宋体"/>
          <w:color w:val="000000"/>
          <w:sz w:val="24"/>
          <w:szCs w:val="24"/>
          <w:highlight w:val="none"/>
          <w:lang w:eastAsia="zh-CN"/>
        </w:rPr>
        <w:t>。虽能形成良好的残余压应力层，显著提升疲劳性能。但其</w:t>
      </w:r>
      <w:r>
        <w:rPr>
          <w:rFonts w:hint="eastAsia" w:ascii="宋体" w:hAnsi="宋体" w:eastAsia="宋体" w:cs="宋体"/>
          <w:color w:val="000000"/>
          <w:sz w:val="24"/>
          <w:szCs w:val="24"/>
          <w:highlight w:val="none"/>
        </w:rPr>
        <w:t>单光斑逐点移动的强化</w:t>
      </w:r>
      <w:r>
        <w:rPr>
          <w:rFonts w:hint="eastAsia" w:ascii="宋体" w:hAnsi="宋体" w:cs="宋体"/>
          <w:color w:val="000000"/>
          <w:sz w:val="24"/>
          <w:szCs w:val="24"/>
          <w:highlight w:val="none"/>
          <w:lang w:eastAsia="zh-CN"/>
        </w:rPr>
        <w:t>方式，加工效率慢，严重</w:t>
      </w:r>
      <w:r>
        <w:rPr>
          <w:rFonts w:hint="eastAsia" w:ascii="宋体" w:hAnsi="宋体" w:eastAsia="宋体" w:cs="宋体"/>
          <w:color w:val="000000"/>
          <w:sz w:val="24"/>
          <w:szCs w:val="24"/>
          <w:highlight w:val="none"/>
        </w:rPr>
        <w:t>制约其在</w:t>
      </w:r>
      <w:r>
        <w:rPr>
          <w:rFonts w:hint="eastAsia" w:ascii="宋体" w:hAnsi="宋体" w:cs="宋体"/>
          <w:color w:val="000000"/>
          <w:sz w:val="24"/>
          <w:szCs w:val="24"/>
          <w:highlight w:val="none"/>
          <w:lang w:eastAsia="zh-CN"/>
        </w:rPr>
        <w:t>民机领域的</w:t>
      </w:r>
      <w:r>
        <w:rPr>
          <w:rFonts w:hint="eastAsia" w:ascii="宋体" w:hAnsi="宋体" w:eastAsia="宋体" w:cs="宋体"/>
          <w:color w:val="000000"/>
          <w:sz w:val="24"/>
          <w:szCs w:val="24"/>
          <w:highlight w:val="none"/>
        </w:rPr>
        <w:t>工程化应用进程。</w:t>
      </w:r>
    </w:p>
    <w:p w14:paraId="1DD9FD00">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eastAsia="zh-CN"/>
        </w:rPr>
        <w:t>因此，基于激光冲击强化能量、冲击点位及角度等精确可控的技术优势，通过基于构件失效区</w:t>
      </w:r>
      <w:r>
        <w:rPr>
          <w:rFonts w:hint="eastAsia" w:ascii="宋体" w:hAnsi="宋体" w:cs="宋体"/>
          <w:color w:val="000000"/>
          <w:sz w:val="24"/>
          <w:szCs w:val="24"/>
          <w:highlight w:val="none"/>
          <w:lang w:val="en-US" w:eastAsia="zh-CN"/>
        </w:rPr>
        <w:t>状态分析</w:t>
      </w:r>
      <w:r>
        <w:rPr>
          <w:rFonts w:hint="eastAsia" w:ascii="宋体" w:hAnsi="宋体" w:cs="宋体"/>
          <w:color w:val="000000"/>
          <w:sz w:val="24"/>
          <w:szCs w:val="24"/>
          <w:highlight w:val="none"/>
          <w:lang w:eastAsia="zh-CN"/>
        </w:rPr>
        <w:t>，开展面向典型特征的激光冲击强化硬件及加工方案的</w:t>
      </w:r>
      <w:r>
        <w:rPr>
          <w:rFonts w:hint="eastAsia" w:ascii="宋体" w:hAnsi="宋体" w:cs="宋体"/>
          <w:color w:val="000000"/>
          <w:sz w:val="24"/>
          <w:szCs w:val="24"/>
          <w:highlight w:val="none"/>
          <w:lang w:val="en-US" w:eastAsia="zh-CN"/>
        </w:rPr>
        <w:t>优化</w:t>
      </w:r>
      <w:r>
        <w:rPr>
          <w:rFonts w:hint="eastAsia" w:ascii="宋体" w:hAnsi="宋体" w:cs="宋体"/>
          <w:color w:val="000000"/>
          <w:sz w:val="24"/>
          <w:szCs w:val="24"/>
          <w:highlight w:val="none"/>
          <w:lang w:eastAsia="zh-CN"/>
        </w:rPr>
        <w:t>设计，</w:t>
      </w:r>
      <w:r>
        <w:rPr>
          <w:rFonts w:hint="eastAsia" w:ascii="宋体" w:hAnsi="宋体" w:eastAsia="宋体" w:cs="宋体"/>
          <w:color w:val="000000"/>
          <w:sz w:val="24"/>
          <w:szCs w:val="24"/>
          <w:highlight w:val="none"/>
          <w:lang w:eastAsia="zh-CN"/>
        </w:rPr>
        <w:t>充分发挥激光冲击强化激光指向性高、</w:t>
      </w:r>
      <w:r>
        <w:rPr>
          <w:rFonts w:hint="eastAsia" w:ascii="宋体" w:hAnsi="宋体" w:cs="宋体"/>
          <w:color w:val="000000"/>
          <w:sz w:val="24"/>
          <w:szCs w:val="24"/>
          <w:highlight w:val="none"/>
          <w:lang w:eastAsia="zh-CN"/>
        </w:rPr>
        <w:t>强化</w:t>
      </w:r>
      <w:r>
        <w:rPr>
          <w:rFonts w:hint="eastAsia" w:ascii="宋体" w:hAnsi="宋体" w:eastAsia="宋体" w:cs="宋体"/>
          <w:color w:val="000000"/>
          <w:sz w:val="24"/>
          <w:szCs w:val="24"/>
          <w:highlight w:val="none"/>
          <w:lang w:eastAsia="zh-CN"/>
        </w:rPr>
        <w:t>残余应力层深</w:t>
      </w:r>
      <w:r>
        <w:rPr>
          <w:rFonts w:hint="eastAsia" w:ascii="宋体" w:hAnsi="宋体" w:cs="宋体"/>
          <w:color w:val="000000"/>
          <w:sz w:val="24"/>
          <w:szCs w:val="24"/>
          <w:highlight w:val="none"/>
          <w:lang w:val="en-US" w:eastAsia="zh-CN"/>
        </w:rPr>
        <w:t>特点</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实现精准强化，提升强化效率，推动该技术在国产大飞机零件制造领域的应用进程</w:t>
      </w:r>
      <w:r>
        <w:rPr>
          <w:rFonts w:hint="eastAsia" w:ascii="宋体" w:hAnsi="宋体" w:eastAsia="宋体" w:cs="宋体"/>
          <w:color w:val="000000"/>
          <w:sz w:val="24"/>
          <w:szCs w:val="24"/>
          <w:highlight w:val="none"/>
        </w:rPr>
        <w:t>。</w:t>
      </w:r>
    </w:p>
    <w:p w14:paraId="098D7D14">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项目归属的重点专业领域</w:t>
      </w:r>
    </w:p>
    <w:p w14:paraId="3CADE76C">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热工艺</w:t>
      </w:r>
    </w:p>
    <w:p w14:paraId="2A2BE1F0">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项目目标及技术指标</w:t>
      </w:r>
    </w:p>
    <w:p w14:paraId="5C88C57D">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outlineLvl w:val="9"/>
        <w:rPr>
          <w:rFonts w:hAnsi="宋体"/>
          <w:color w:val="auto"/>
          <w:sz w:val="24"/>
          <w:highlight w:val="none"/>
        </w:rPr>
      </w:pPr>
      <w:r>
        <w:rPr>
          <w:rFonts w:hint="eastAsia" w:ascii="Times New Roman" w:hAnsi="宋体" w:eastAsia="宋体" w:cs="Times New Roman"/>
          <w:b/>
          <w:sz w:val="24"/>
          <w:szCs w:val="24"/>
          <w:highlight w:val="none"/>
        </w:rPr>
        <w:t>项目目标：</w:t>
      </w:r>
    </w:p>
    <w:p w14:paraId="69EC9420">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以国产大型客机钛合金</w:t>
      </w:r>
      <w:r>
        <w:rPr>
          <w:rFonts w:hint="eastAsia" w:ascii="宋体" w:hAnsi="宋体" w:cs="宋体"/>
          <w:color w:val="000000"/>
          <w:sz w:val="24"/>
          <w:szCs w:val="24"/>
          <w:highlight w:val="none"/>
          <w:lang w:eastAsia="zh-CN"/>
        </w:rPr>
        <w:t>接头类零件</w:t>
      </w:r>
      <w:r>
        <w:rPr>
          <w:rFonts w:hint="eastAsia" w:ascii="宋体" w:hAnsi="宋体" w:eastAsia="宋体" w:cs="宋体"/>
          <w:color w:val="000000"/>
          <w:sz w:val="24"/>
          <w:szCs w:val="24"/>
          <w:highlight w:val="none"/>
        </w:rPr>
        <w:t>为最终应用对象，开展</w:t>
      </w:r>
      <w:r>
        <w:rPr>
          <w:rFonts w:hint="eastAsia" w:ascii="宋体" w:hAnsi="宋体" w:cs="宋体"/>
          <w:color w:val="000000"/>
          <w:sz w:val="24"/>
          <w:szCs w:val="24"/>
          <w:highlight w:val="none"/>
          <w:lang w:eastAsia="zh-CN"/>
        </w:rPr>
        <w:t>精准</w:t>
      </w:r>
      <w:r>
        <w:rPr>
          <w:rFonts w:hint="eastAsia" w:ascii="宋体" w:hAnsi="宋体" w:eastAsia="宋体" w:cs="宋体"/>
          <w:color w:val="000000"/>
          <w:sz w:val="24"/>
          <w:szCs w:val="24"/>
          <w:highlight w:val="none"/>
        </w:rPr>
        <w:t>强化技术研究，研发与</w:t>
      </w:r>
      <w:r>
        <w:rPr>
          <w:rFonts w:hint="eastAsia" w:ascii="宋体" w:hAnsi="宋体" w:cs="宋体"/>
          <w:color w:val="000000"/>
          <w:sz w:val="24"/>
          <w:szCs w:val="24"/>
          <w:highlight w:val="none"/>
          <w:lang w:eastAsia="zh-CN"/>
        </w:rPr>
        <w:t>零件</w:t>
      </w:r>
      <w:r>
        <w:rPr>
          <w:rFonts w:hint="eastAsia" w:ascii="宋体" w:hAnsi="宋体" w:eastAsia="宋体" w:cs="宋体"/>
          <w:color w:val="000000"/>
          <w:sz w:val="24"/>
          <w:szCs w:val="24"/>
          <w:highlight w:val="none"/>
        </w:rPr>
        <w:t>边缘几何形状匹配的</w:t>
      </w:r>
      <w:r>
        <w:rPr>
          <w:rFonts w:hint="eastAsia" w:ascii="宋体" w:hAnsi="宋体" w:cs="宋体"/>
          <w:color w:val="000000"/>
          <w:sz w:val="24"/>
          <w:szCs w:val="24"/>
          <w:highlight w:val="none"/>
          <w:lang w:eastAsia="zh-CN"/>
        </w:rPr>
        <w:t>光束整形</w:t>
      </w:r>
      <w:r>
        <w:rPr>
          <w:rFonts w:hint="eastAsia" w:ascii="宋体" w:hAnsi="宋体" w:eastAsia="宋体" w:cs="宋体"/>
          <w:color w:val="000000"/>
          <w:sz w:val="24"/>
          <w:szCs w:val="24"/>
          <w:highlight w:val="none"/>
        </w:rPr>
        <w:t>系统，研究运动与激光高效实时交互控制技术，保证复杂</w:t>
      </w:r>
      <w:r>
        <w:rPr>
          <w:rFonts w:hint="eastAsia" w:ascii="宋体" w:hAnsi="宋体" w:cs="宋体"/>
          <w:color w:val="000000"/>
          <w:sz w:val="24"/>
          <w:szCs w:val="24"/>
          <w:highlight w:val="none"/>
          <w:lang w:eastAsia="zh-CN"/>
        </w:rPr>
        <w:t>曲面</w:t>
      </w:r>
      <w:r>
        <w:rPr>
          <w:rFonts w:hint="eastAsia" w:ascii="宋体" w:hAnsi="宋体" w:eastAsia="宋体" w:cs="宋体"/>
          <w:color w:val="000000"/>
          <w:sz w:val="24"/>
          <w:szCs w:val="24"/>
          <w:highlight w:val="none"/>
        </w:rPr>
        <w:t>加工区域搭接率的一致性。</w:t>
      </w:r>
      <w:r>
        <w:rPr>
          <w:rFonts w:hint="eastAsia" w:ascii="宋体" w:hAnsi="宋体" w:eastAsia="宋体" w:cs="宋体"/>
          <w:color w:val="000000"/>
          <w:sz w:val="24"/>
          <w:szCs w:val="24"/>
          <w:highlight w:val="none"/>
          <w:lang w:eastAsia="zh-CN"/>
        </w:rPr>
        <w:t>开发</w:t>
      </w:r>
      <w:r>
        <w:rPr>
          <w:rFonts w:hint="eastAsia" w:ascii="宋体" w:hAnsi="宋体" w:eastAsia="宋体" w:cs="宋体"/>
          <w:color w:val="000000"/>
          <w:sz w:val="24"/>
          <w:szCs w:val="24"/>
          <w:highlight w:val="none"/>
        </w:rPr>
        <w:t>针对</w:t>
      </w:r>
      <w:bookmarkStart w:id="13" w:name="OLE_LINK5"/>
      <w:bookmarkStart w:id="14" w:name="OLE_LINK6"/>
      <w:r>
        <w:rPr>
          <w:rFonts w:hint="eastAsia" w:ascii="宋体" w:hAnsi="宋体" w:eastAsia="宋体" w:cs="宋体"/>
          <w:color w:val="000000"/>
          <w:sz w:val="24"/>
          <w:szCs w:val="24"/>
          <w:highlight w:val="none"/>
        </w:rPr>
        <w:t>复杂结构件激光冲击强化快速仿真</w:t>
      </w:r>
      <w:bookmarkEnd w:id="13"/>
      <w:bookmarkEnd w:id="14"/>
      <w:r>
        <w:rPr>
          <w:rFonts w:hint="eastAsia" w:ascii="宋体" w:hAnsi="宋体" w:eastAsia="宋体" w:cs="宋体"/>
          <w:color w:val="000000"/>
          <w:sz w:val="24"/>
          <w:szCs w:val="24"/>
          <w:highlight w:val="none"/>
        </w:rPr>
        <w:t>模块，实现复杂结构件激光冲击强化整体残余应力分布与变形情况快速精准预测，并结合预测结果</w:t>
      </w:r>
      <w:r>
        <w:rPr>
          <w:rFonts w:hint="eastAsia" w:ascii="宋体" w:hAnsi="宋体" w:cs="宋体"/>
          <w:color w:val="000000"/>
          <w:sz w:val="24"/>
          <w:szCs w:val="24"/>
          <w:highlight w:val="none"/>
          <w:lang w:eastAsia="zh-CN"/>
        </w:rPr>
        <w:t>进行精准激光冲击强化</w:t>
      </w:r>
      <w:r>
        <w:rPr>
          <w:rFonts w:hint="eastAsia" w:ascii="宋体" w:hAnsi="宋体" w:eastAsia="宋体" w:cs="宋体"/>
          <w:color w:val="000000"/>
          <w:sz w:val="24"/>
          <w:szCs w:val="24"/>
          <w:highlight w:val="none"/>
        </w:rPr>
        <w:t>，推进其工程化应用进程。</w:t>
      </w:r>
    </w:p>
    <w:p w14:paraId="493E499C">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宋体" w:eastAsia="宋体" w:cs="Times New Roman"/>
          <w:b/>
          <w:sz w:val="24"/>
          <w:szCs w:val="24"/>
          <w:highlight w:val="none"/>
        </w:rPr>
      </w:pPr>
      <w:r>
        <w:rPr>
          <w:rFonts w:hint="eastAsia" w:ascii="Times New Roman" w:hAnsi="宋体" w:eastAsia="宋体" w:cs="Times New Roman"/>
          <w:b/>
          <w:sz w:val="24"/>
          <w:szCs w:val="24"/>
          <w:highlight w:val="none"/>
        </w:rPr>
        <w:t>技术指标：</w:t>
      </w:r>
    </w:p>
    <w:p w14:paraId="7B2A924A">
      <w:pPr>
        <w:keepNext w:val="0"/>
        <w:keepLines w:val="0"/>
        <w:pageBreakBefore w:val="0"/>
        <w:widowControl/>
        <w:numPr>
          <w:ilvl w:val="0"/>
          <w:numId w:val="3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建立复杂结构件激光冲击强化仿真模拟模块，残余应力与变形预测结果与实际测量误差小于15%</w:t>
      </w:r>
      <w:r>
        <w:rPr>
          <w:rFonts w:hint="eastAsia" w:ascii="宋体" w:hAnsi="宋体" w:eastAsia="宋体" w:cs="宋体"/>
          <w:bCs/>
          <w:sz w:val="24"/>
          <w:szCs w:val="24"/>
          <w:highlight w:val="none"/>
          <w:lang w:eastAsia="zh-CN"/>
        </w:rPr>
        <w:t>；</w:t>
      </w:r>
    </w:p>
    <w:p w14:paraId="269AB5B3">
      <w:pPr>
        <w:keepNext w:val="0"/>
        <w:keepLines w:val="0"/>
        <w:pageBreakBefore w:val="0"/>
        <w:widowControl/>
        <w:numPr>
          <w:ilvl w:val="0"/>
          <w:numId w:val="3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优化后</w:t>
      </w:r>
      <w:r>
        <w:rPr>
          <w:rFonts w:hint="eastAsia" w:ascii="宋体" w:hAnsi="宋体" w:eastAsia="宋体" w:cs="宋体"/>
          <w:bCs/>
          <w:sz w:val="24"/>
          <w:szCs w:val="24"/>
          <w:highlight w:val="none"/>
        </w:rPr>
        <w:t>激光冲击强化</w:t>
      </w:r>
      <w:r>
        <w:rPr>
          <w:rFonts w:hint="eastAsia" w:ascii="宋体" w:hAnsi="宋体" w:eastAsia="宋体" w:cs="宋体"/>
          <w:bCs/>
          <w:sz w:val="24"/>
          <w:szCs w:val="24"/>
          <w:highlight w:val="none"/>
          <w:lang w:eastAsia="zh-CN"/>
        </w:rPr>
        <w:t>实现</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5</w:t>
      </w:r>
      <w:r>
        <w:rPr>
          <w:rFonts w:hint="eastAsia" w:ascii="宋体" w:hAnsi="宋体" w:eastAsia="宋体" w:cs="宋体"/>
          <w:bCs/>
          <w:sz w:val="24"/>
          <w:szCs w:val="24"/>
          <w:highlight w:val="none"/>
        </w:rPr>
        <w:t>Hz精准点位可控高效强化</w:t>
      </w:r>
      <w:r>
        <w:rPr>
          <w:rFonts w:hint="eastAsia" w:ascii="宋体" w:hAnsi="宋体" w:eastAsia="宋体" w:cs="宋体"/>
          <w:bCs/>
          <w:sz w:val="24"/>
          <w:szCs w:val="24"/>
          <w:highlight w:val="none"/>
          <w:lang w:eastAsia="zh-CN"/>
        </w:rPr>
        <w:t>；</w:t>
      </w:r>
    </w:p>
    <w:p w14:paraId="1268EACC">
      <w:pPr>
        <w:keepNext w:val="0"/>
        <w:keepLines w:val="0"/>
        <w:pageBreakBefore w:val="0"/>
        <w:widowControl/>
        <w:numPr>
          <w:ilvl w:val="0"/>
          <w:numId w:val="3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光斑形状圆形、正方形可随加工零件几何特征切换；</w:t>
      </w:r>
    </w:p>
    <w:p w14:paraId="04A71A66">
      <w:pPr>
        <w:keepNext w:val="0"/>
        <w:keepLines w:val="0"/>
        <w:pageBreakBefore w:val="0"/>
        <w:widowControl/>
        <w:numPr>
          <w:ilvl w:val="0"/>
          <w:numId w:val="3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试片</w:t>
      </w:r>
      <w:r>
        <w:rPr>
          <w:rFonts w:hint="eastAsia" w:ascii="宋体" w:hAnsi="宋体" w:cs="宋体"/>
          <w:bCs/>
          <w:sz w:val="24"/>
          <w:szCs w:val="24"/>
          <w:highlight w:val="none"/>
          <w:lang w:eastAsia="zh-CN"/>
        </w:rPr>
        <w:t>优化后</w:t>
      </w:r>
      <w:r>
        <w:rPr>
          <w:rFonts w:hint="eastAsia" w:ascii="宋体" w:hAnsi="宋体" w:eastAsia="宋体" w:cs="宋体"/>
          <w:bCs/>
          <w:sz w:val="24"/>
          <w:szCs w:val="24"/>
          <w:highlight w:val="none"/>
        </w:rPr>
        <w:t>疲劳强度增益</w:t>
      </w:r>
      <w:r>
        <w:rPr>
          <w:rFonts w:hint="eastAsia" w:ascii="宋体" w:hAnsi="宋体" w:eastAsia="宋体" w:cs="宋体"/>
          <w:bCs/>
          <w:sz w:val="24"/>
          <w:szCs w:val="24"/>
          <w:highlight w:val="none"/>
          <w:lang w:eastAsia="zh-CN"/>
        </w:rPr>
        <w:t>相较于母材</w:t>
      </w:r>
      <w:r>
        <w:rPr>
          <w:rFonts w:hint="eastAsia" w:ascii="宋体" w:hAnsi="宋体" w:eastAsia="宋体" w:cs="宋体"/>
          <w:bCs/>
          <w:sz w:val="24"/>
          <w:szCs w:val="24"/>
          <w:highlight w:val="none"/>
        </w:rPr>
        <w:t>提升≥25%；</w:t>
      </w:r>
    </w:p>
    <w:p w14:paraId="3CF11129">
      <w:pPr>
        <w:keepNext w:val="0"/>
        <w:keepLines w:val="0"/>
        <w:pageBreakBefore w:val="0"/>
        <w:widowControl/>
        <w:numPr>
          <w:ilvl w:val="0"/>
          <w:numId w:val="31"/>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技术成熟度从TRL</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rPr>
        <w:t>级提升至TRL</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级。</w:t>
      </w:r>
    </w:p>
    <w:p w14:paraId="2833C725">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主要研究内容</w:t>
      </w:r>
    </w:p>
    <w:p w14:paraId="77A9B3DF">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宋体" w:eastAsia="宋体" w:cs="Times New Roman"/>
          <w:b/>
          <w:sz w:val="24"/>
          <w:szCs w:val="24"/>
          <w:highlight w:val="none"/>
        </w:rPr>
      </w:pPr>
      <w:r>
        <w:rPr>
          <w:rFonts w:hint="eastAsia" w:ascii="Times New Roman" w:hAnsi="宋体" w:eastAsia="宋体" w:cs="Times New Roman"/>
          <w:b/>
          <w:sz w:val="24"/>
          <w:szCs w:val="24"/>
          <w:highlight w:val="none"/>
        </w:rPr>
        <w:t>拟解决的关键技术</w:t>
      </w:r>
    </w:p>
    <w:p w14:paraId="7C943998">
      <w:pPr>
        <w:keepNext w:val="0"/>
        <w:keepLines w:val="0"/>
        <w:pageBreakBefore w:val="0"/>
        <w:widowControl/>
        <w:numPr>
          <w:ilvl w:val="0"/>
          <w:numId w:val="32"/>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强化点位高效精确控制技术</w:t>
      </w:r>
    </w:p>
    <w:p w14:paraId="688490B3">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根据飞机结构件几何形状，</w:t>
      </w:r>
      <w:r>
        <w:rPr>
          <w:rFonts w:hint="eastAsia" w:ascii="宋体" w:hAnsi="宋体" w:eastAsia="宋体" w:cs="宋体"/>
          <w:color w:val="000000"/>
          <w:sz w:val="24"/>
          <w:szCs w:val="24"/>
          <w:highlight w:val="none"/>
          <w:lang w:eastAsia="zh-CN"/>
        </w:rPr>
        <w:t>开发</w:t>
      </w:r>
      <w:r>
        <w:rPr>
          <w:rFonts w:hint="eastAsia" w:ascii="宋体" w:hAnsi="宋体" w:eastAsia="宋体" w:cs="宋体"/>
          <w:color w:val="000000"/>
          <w:sz w:val="24"/>
          <w:szCs w:val="24"/>
          <w:highlight w:val="none"/>
        </w:rPr>
        <w:t>与可与曲面细节特征结构匹配的高效光束整形系统，实现</w:t>
      </w:r>
      <w:r>
        <w:rPr>
          <w:rFonts w:hint="eastAsia" w:ascii="宋体" w:hAnsi="宋体" w:eastAsia="宋体" w:cs="宋体"/>
          <w:color w:val="000000"/>
          <w:sz w:val="24"/>
          <w:szCs w:val="24"/>
          <w:highlight w:val="none"/>
          <w:lang w:eastAsia="zh-CN"/>
        </w:rPr>
        <w:t>圆形光斑、方形光斑的形状切换，保证加工位置的精确可控，避免单一圆光斑与零件曲面形状不贴合造成的部分区域漏打</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并</w:t>
      </w:r>
      <w:r>
        <w:rPr>
          <w:rFonts w:hint="eastAsia" w:ascii="宋体" w:hAnsi="宋体" w:eastAsia="宋体" w:cs="宋体"/>
          <w:color w:val="000000"/>
          <w:sz w:val="24"/>
          <w:szCs w:val="24"/>
          <w:highlight w:val="none"/>
        </w:rPr>
        <w:t>通过外触发控制的方式</w:t>
      </w:r>
      <w:r>
        <w:rPr>
          <w:rFonts w:hint="eastAsia" w:ascii="宋体" w:hAnsi="宋体" w:eastAsia="宋体" w:cs="宋体"/>
          <w:color w:val="000000"/>
          <w:sz w:val="24"/>
          <w:szCs w:val="24"/>
          <w:highlight w:val="none"/>
          <w:lang w:eastAsia="zh-CN"/>
        </w:rPr>
        <w:t>同步</w:t>
      </w:r>
      <w:r>
        <w:rPr>
          <w:rFonts w:hint="eastAsia" w:ascii="宋体" w:hAnsi="宋体" w:eastAsia="宋体" w:cs="宋体"/>
          <w:color w:val="000000"/>
          <w:sz w:val="24"/>
          <w:szCs w:val="24"/>
          <w:highlight w:val="none"/>
        </w:rPr>
        <w:t>控制机器人运动位置和激光器出光时间，实现</w:t>
      </w:r>
      <w:r>
        <w:rPr>
          <w:rFonts w:hint="eastAsia" w:ascii="宋体" w:hAnsi="宋体" w:cs="宋体"/>
          <w:color w:val="000000"/>
          <w:sz w:val="24"/>
          <w:szCs w:val="24"/>
          <w:highlight w:val="none"/>
          <w:lang w:eastAsia="zh-CN"/>
        </w:rPr>
        <w:t>控制</w:t>
      </w:r>
      <w:r>
        <w:rPr>
          <w:rFonts w:hint="eastAsia" w:ascii="宋体" w:hAnsi="宋体" w:eastAsia="宋体" w:cs="宋体"/>
          <w:color w:val="000000"/>
          <w:sz w:val="24"/>
          <w:szCs w:val="24"/>
          <w:highlight w:val="none"/>
        </w:rPr>
        <w:t>系统对轨迹机器人和激光器的高效精确</w:t>
      </w:r>
      <w:r>
        <w:rPr>
          <w:rFonts w:hint="eastAsia" w:ascii="宋体" w:hAnsi="宋体" w:cs="宋体"/>
          <w:color w:val="000000"/>
          <w:sz w:val="24"/>
          <w:szCs w:val="24"/>
          <w:highlight w:val="none"/>
          <w:lang w:eastAsia="zh-CN"/>
        </w:rPr>
        <w:t>协同</w:t>
      </w:r>
      <w:r>
        <w:rPr>
          <w:rFonts w:hint="eastAsia" w:ascii="宋体" w:hAnsi="宋体" w:eastAsia="宋体" w:cs="宋体"/>
          <w:color w:val="000000"/>
          <w:sz w:val="24"/>
          <w:szCs w:val="24"/>
          <w:highlight w:val="none"/>
        </w:rPr>
        <w:t>控制，大幅提高激光冲击强化的加工效率。</w:t>
      </w:r>
    </w:p>
    <w:p w14:paraId="2CFC7247">
      <w:pPr>
        <w:keepNext w:val="0"/>
        <w:keepLines w:val="0"/>
        <w:pageBreakBefore w:val="0"/>
        <w:widowControl/>
        <w:numPr>
          <w:ilvl w:val="0"/>
          <w:numId w:val="32"/>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激光冲击强化</w:t>
      </w:r>
      <w:r>
        <w:rPr>
          <w:rFonts w:hint="eastAsia" w:ascii="宋体" w:hAnsi="宋体" w:cs="宋体"/>
          <w:bCs/>
          <w:sz w:val="24"/>
          <w:szCs w:val="24"/>
          <w:highlight w:val="none"/>
          <w:lang w:eastAsia="zh-CN"/>
        </w:rPr>
        <w:t>强化效果精准预测</w:t>
      </w:r>
      <w:r>
        <w:rPr>
          <w:rFonts w:hint="eastAsia" w:ascii="宋体" w:hAnsi="宋体" w:eastAsia="宋体" w:cs="宋体"/>
          <w:bCs/>
          <w:sz w:val="24"/>
          <w:szCs w:val="24"/>
          <w:highlight w:val="none"/>
        </w:rPr>
        <w:t>技术</w:t>
      </w:r>
    </w:p>
    <w:p w14:paraId="5A5A3B8B">
      <w:pPr>
        <w:pageBreakBefore w:val="0"/>
        <w:kinsoku/>
        <w:wordWrap/>
        <w:overflowPunct/>
        <w:topLinePunct w:val="0"/>
        <w:autoSpaceDE/>
        <w:autoSpaceDN/>
        <w:bidi w:val="0"/>
        <w:adjustRightInd/>
        <w:snapToGrid/>
        <w:spacing w:line="240" w:lineRule="auto"/>
        <w:ind w:firstLine="480"/>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针对零件</w:t>
      </w:r>
      <w:r>
        <w:rPr>
          <w:rFonts w:hint="eastAsia" w:ascii="宋体" w:hAnsi="宋体" w:eastAsia="宋体" w:cs="宋体"/>
          <w:color w:val="000000"/>
          <w:sz w:val="24"/>
          <w:szCs w:val="24"/>
          <w:highlight w:val="none"/>
          <w:lang w:eastAsia="zh-CN"/>
        </w:rPr>
        <w:t>曲面特征，</w:t>
      </w:r>
      <w:r>
        <w:rPr>
          <w:rFonts w:hint="eastAsia" w:ascii="宋体" w:hAnsi="宋体" w:cs="宋体"/>
          <w:color w:val="000000"/>
          <w:sz w:val="24"/>
          <w:szCs w:val="24"/>
          <w:highlight w:val="none"/>
          <w:lang w:eastAsia="zh-CN"/>
        </w:rPr>
        <w:t>开展激光冲击强化强化效果精准预测研究。</w:t>
      </w:r>
      <w:r>
        <w:rPr>
          <w:rFonts w:hint="eastAsia" w:ascii="宋体" w:hAnsi="宋体" w:eastAsia="宋体" w:cs="宋体"/>
          <w:color w:val="000000"/>
          <w:sz w:val="24"/>
          <w:szCs w:val="24"/>
          <w:highlight w:val="none"/>
          <w:lang w:eastAsia="zh-CN"/>
        </w:rPr>
        <w:t>研究多点冲击时</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eastAsia="zh-CN"/>
        </w:rPr>
        <w:t>激光能量、冲击路径</w:t>
      </w:r>
      <w:r>
        <w:rPr>
          <w:rFonts w:hint="eastAsia" w:ascii="宋体" w:hAnsi="宋体" w:cs="宋体"/>
          <w:color w:val="000000"/>
          <w:sz w:val="24"/>
          <w:szCs w:val="24"/>
          <w:highlight w:val="none"/>
          <w:lang w:eastAsia="zh-CN"/>
        </w:rPr>
        <w:t>、冲击角度</w:t>
      </w:r>
      <w:r>
        <w:rPr>
          <w:rFonts w:hint="eastAsia" w:ascii="宋体" w:hAnsi="宋体" w:eastAsia="宋体" w:cs="宋体"/>
          <w:color w:val="000000"/>
          <w:sz w:val="24"/>
          <w:szCs w:val="24"/>
          <w:highlight w:val="none"/>
          <w:lang w:eastAsia="zh-CN"/>
        </w:rPr>
        <w:t>等参数对残余</w:t>
      </w:r>
      <w:r>
        <w:rPr>
          <w:rFonts w:hint="eastAsia" w:ascii="宋体" w:hAnsi="宋体" w:cs="宋体"/>
          <w:color w:val="000000"/>
          <w:sz w:val="24"/>
          <w:szCs w:val="24"/>
          <w:highlight w:val="none"/>
          <w:lang w:eastAsia="zh-CN"/>
        </w:rPr>
        <w:t>压</w:t>
      </w:r>
      <w:r>
        <w:rPr>
          <w:rFonts w:hint="eastAsia" w:ascii="宋体" w:hAnsi="宋体" w:eastAsia="宋体" w:cs="宋体"/>
          <w:color w:val="000000"/>
          <w:sz w:val="24"/>
          <w:szCs w:val="24"/>
          <w:highlight w:val="none"/>
          <w:lang w:eastAsia="zh-CN"/>
        </w:rPr>
        <w:t>应力和变形量的影响</w:t>
      </w:r>
      <w:r>
        <w:rPr>
          <w:rFonts w:hint="eastAsia" w:ascii="宋体" w:hAnsi="宋体" w:cs="宋体"/>
          <w:color w:val="000000"/>
          <w:sz w:val="24"/>
          <w:szCs w:val="24"/>
          <w:highlight w:val="none"/>
          <w:lang w:eastAsia="zh-CN"/>
        </w:rPr>
        <w:t>。基于</w:t>
      </w:r>
      <w:r>
        <w:rPr>
          <w:rFonts w:hint="eastAsia" w:ascii="宋体" w:hAnsi="宋体" w:cs="宋体"/>
          <w:color w:val="000000"/>
          <w:sz w:val="24"/>
          <w:szCs w:val="24"/>
          <w:highlight w:val="none"/>
          <w:lang w:val="en-US" w:eastAsia="zh-CN"/>
        </w:rPr>
        <w:t>Abaqus软件开展</w:t>
      </w:r>
      <w:r>
        <w:rPr>
          <w:rFonts w:hint="eastAsia" w:ascii="宋体" w:hAnsi="宋体" w:eastAsia="宋体" w:cs="宋体"/>
          <w:color w:val="000000"/>
          <w:sz w:val="24"/>
          <w:szCs w:val="24"/>
          <w:highlight w:val="none"/>
          <w:lang w:eastAsia="zh-CN"/>
        </w:rPr>
        <w:t>激光冲击强化仿真模块</w:t>
      </w:r>
      <w:r>
        <w:rPr>
          <w:rFonts w:hint="eastAsia" w:ascii="宋体" w:hAnsi="宋体" w:cs="宋体"/>
          <w:color w:val="000000"/>
          <w:sz w:val="24"/>
          <w:szCs w:val="24"/>
          <w:highlight w:val="none"/>
          <w:lang w:eastAsia="zh-CN"/>
        </w:rPr>
        <w:t>优化开发，实现真实强化轨迹快速导入与预处理。基于真实加工路径，实现</w:t>
      </w:r>
      <w:r>
        <w:rPr>
          <w:rFonts w:hint="eastAsia" w:ascii="宋体" w:hAnsi="宋体" w:eastAsia="宋体" w:cs="宋体"/>
          <w:color w:val="000000"/>
          <w:sz w:val="24"/>
          <w:szCs w:val="24"/>
          <w:highlight w:val="none"/>
          <w:lang w:eastAsia="zh-CN"/>
        </w:rPr>
        <w:t>曲面细节特征结构</w:t>
      </w:r>
      <w:r>
        <w:rPr>
          <w:rFonts w:hint="eastAsia" w:ascii="宋体" w:hAnsi="宋体" w:cs="宋体"/>
          <w:color w:val="000000"/>
          <w:sz w:val="24"/>
          <w:szCs w:val="24"/>
          <w:highlight w:val="none"/>
          <w:lang w:eastAsia="zh-CN"/>
        </w:rPr>
        <w:t>件</w:t>
      </w:r>
      <w:r>
        <w:rPr>
          <w:rFonts w:hint="eastAsia" w:ascii="宋体" w:hAnsi="宋体" w:eastAsia="宋体" w:cs="宋体"/>
          <w:color w:val="000000"/>
          <w:sz w:val="24"/>
          <w:szCs w:val="24"/>
          <w:highlight w:val="none"/>
          <w:lang w:eastAsia="zh-CN"/>
        </w:rPr>
        <w:t>强化</w:t>
      </w:r>
      <w:r>
        <w:rPr>
          <w:rFonts w:hint="eastAsia" w:ascii="宋体" w:hAnsi="宋体" w:cs="宋体"/>
          <w:color w:val="000000"/>
          <w:sz w:val="24"/>
          <w:szCs w:val="24"/>
          <w:highlight w:val="none"/>
          <w:lang w:eastAsia="zh-CN"/>
        </w:rPr>
        <w:t>效果的快速与精准仿真预测。</w:t>
      </w:r>
    </w:p>
    <w:p w14:paraId="61B60AF6">
      <w:pPr>
        <w:keepNext w:val="0"/>
        <w:keepLines w:val="0"/>
        <w:pageBreakBefore w:val="0"/>
        <w:widowControl/>
        <w:numPr>
          <w:ilvl w:val="0"/>
          <w:numId w:val="32"/>
        </w:numPr>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基于真实受载的激光冲击</w:t>
      </w:r>
      <w:r>
        <w:rPr>
          <w:rFonts w:hint="eastAsia" w:ascii="宋体" w:hAnsi="宋体" w:eastAsia="宋体" w:cs="宋体"/>
          <w:bCs/>
          <w:sz w:val="24"/>
          <w:szCs w:val="24"/>
          <w:highlight w:val="none"/>
        </w:rPr>
        <w:t>强化技术</w:t>
      </w:r>
    </w:p>
    <w:p w14:paraId="591511F6">
      <w:pPr>
        <w:keepNext w:val="0"/>
        <w:keepLines w:val="0"/>
        <w:pageBreakBefore w:val="0"/>
        <w:kinsoku/>
        <w:wordWrap/>
        <w:overflowPunct/>
        <w:topLinePunct w:val="0"/>
        <w:autoSpaceDE/>
        <w:autoSpaceDN/>
        <w:bidi w:val="0"/>
        <w:adjustRightInd/>
        <w:snapToGrid/>
        <w:spacing w:line="240" w:lineRule="auto"/>
        <w:ind w:left="0" w:leftChars="0" w:firstLine="480" w:firstLineChars="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基于</w:t>
      </w:r>
      <w:r>
        <w:rPr>
          <w:rFonts w:hint="eastAsia" w:ascii="宋体" w:hAnsi="宋体" w:cs="宋体"/>
          <w:color w:val="000000"/>
          <w:sz w:val="24"/>
          <w:szCs w:val="24"/>
          <w:highlight w:val="none"/>
          <w:lang w:eastAsia="zh-CN"/>
        </w:rPr>
        <w:t>试件</w:t>
      </w:r>
      <w:r>
        <w:rPr>
          <w:rFonts w:hint="eastAsia" w:ascii="宋体" w:hAnsi="宋体" w:eastAsia="宋体" w:cs="宋体"/>
          <w:color w:val="000000"/>
          <w:sz w:val="24"/>
          <w:szCs w:val="24"/>
          <w:highlight w:val="none"/>
          <w:lang w:eastAsia="zh-CN"/>
        </w:rPr>
        <w:t>真实受载情况</w:t>
      </w:r>
      <w:r>
        <w:rPr>
          <w:rFonts w:hint="eastAsia" w:ascii="宋体" w:hAnsi="宋体" w:cs="宋体"/>
          <w:color w:val="000000"/>
          <w:sz w:val="24"/>
          <w:szCs w:val="24"/>
          <w:highlight w:val="none"/>
          <w:lang w:eastAsia="zh-CN"/>
        </w:rPr>
        <w:t>，开展应力集中与失效区域仿真预测与分析，形成抗疲劳残余压应力场的精确设计。并结合关键技术</w:t>
      </w:r>
      <w:r>
        <w:rPr>
          <w:rFonts w:hint="eastAsia" w:ascii="宋体" w:hAnsi="宋体" w:cs="宋体"/>
          <w:color w:val="000000"/>
          <w:sz w:val="24"/>
          <w:szCs w:val="24"/>
          <w:highlight w:val="none"/>
          <w:lang w:val="en-US" w:eastAsia="zh-CN"/>
        </w:rPr>
        <w:t>2</w:t>
      </w:r>
      <w:r>
        <w:rPr>
          <w:rFonts w:hint="eastAsia" w:ascii="宋体" w:hAnsi="宋体" w:cs="宋体"/>
          <w:bCs/>
          <w:sz w:val="24"/>
          <w:szCs w:val="24"/>
          <w:highlight w:val="none"/>
          <w:lang w:eastAsia="zh-CN"/>
        </w:rPr>
        <w:t>强化效果精准预测</w:t>
      </w:r>
      <w:r>
        <w:rPr>
          <w:rFonts w:hint="eastAsia" w:ascii="宋体" w:hAnsi="宋体" w:eastAsia="宋体" w:cs="宋体"/>
          <w:bCs/>
          <w:sz w:val="24"/>
          <w:szCs w:val="24"/>
          <w:highlight w:val="none"/>
        </w:rPr>
        <w:t>技术</w:t>
      </w:r>
      <w:r>
        <w:rPr>
          <w:rFonts w:hint="eastAsia" w:ascii="宋体" w:hAnsi="宋体" w:cs="宋体"/>
          <w:color w:val="000000"/>
          <w:sz w:val="24"/>
          <w:szCs w:val="24"/>
          <w:highlight w:val="none"/>
          <w:lang w:eastAsia="zh-CN"/>
        </w:rPr>
        <w:t>，开展激光冲击强化工艺</w:t>
      </w:r>
      <w:r>
        <w:rPr>
          <w:rFonts w:hint="eastAsia" w:ascii="宋体" w:hAnsi="宋体" w:cs="宋体"/>
          <w:color w:val="000000"/>
          <w:sz w:val="24"/>
          <w:szCs w:val="24"/>
          <w:highlight w:val="none"/>
          <w:lang w:val="en-US" w:eastAsia="zh-CN"/>
        </w:rPr>
        <w:t>方案设计</w:t>
      </w:r>
      <w:r>
        <w:rPr>
          <w:rFonts w:hint="eastAsia" w:ascii="宋体" w:hAnsi="宋体" w:cs="宋体"/>
          <w:color w:val="000000"/>
          <w:sz w:val="24"/>
          <w:szCs w:val="24"/>
          <w:highlight w:val="none"/>
          <w:lang w:eastAsia="zh-CN"/>
        </w:rPr>
        <w:t>，实现应力集中与失效区精准强化，提升强化效率。</w:t>
      </w:r>
      <w:r>
        <w:rPr>
          <w:rFonts w:hint="eastAsia" w:ascii="宋体" w:hAnsi="宋体" w:cs="宋体"/>
          <w:color w:val="000000"/>
          <w:sz w:val="24"/>
          <w:szCs w:val="24"/>
          <w:highlight w:val="none"/>
          <w:lang w:val="en-US" w:eastAsia="zh-CN"/>
        </w:rPr>
        <w:t>通过</w:t>
      </w:r>
      <w:r>
        <w:rPr>
          <w:rFonts w:hint="eastAsia" w:ascii="宋体" w:hAnsi="宋体" w:eastAsia="宋体" w:cs="宋体"/>
          <w:color w:val="000000"/>
          <w:sz w:val="24"/>
          <w:szCs w:val="24"/>
          <w:highlight w:val="none"/>
          <w:lang w:eastAsia="zh-CN"/>
        </w:rPr>
        <w:t>引入机械喷丸强化工艺，在激光冲击</w:t>
      </w:r>
      <w:r>
        <w:rPr>
          <w:rFonts w:hint="eastAsia" w:ascii="宋体" w:hAnsi="宋体" w:cs="宋体"/>
          <w:color w:val="000000"/>
          <w:sz w:val="24"/>
          <w:szCs w:val="24"/>
          <w:highlight w:val="none"/>
          <w:lang w:eastAsia="zh-CN"/>
        </w:rPr>
        <w:t>强化</w:t>
      </w:r>
      <w:r>
        <w:rPr>
          <w:rFonts w:hint="eastAsia" w:ascii="宋体" w:hAnsi="宋体" w:eastAsia="宋体" w:cs="宋体"/>
          <w:color w:val="000000"/>
          <w:sz w:val="24"/>
          <w:szCs w:val="24"/>
          <w:highlight w:val="none"/>
          <w:lang w:eastAsia="zh-CN"/>
        </w:rPr>
        <w:t>的基础上进行机械喷丸强化</w:t>
      </w:r>
      <w:r>
        <w:rPr>
          <w:rFonts w:hint="eastAsia" w:ascii="宋体" w:hAnsi="宋体" w:cs="宋体"/>
          <w:color w:val="000000"/>
          <w:sz w:val="24"/>
          <w:szCs w:val="24"/>
          <w:highlight w:val="none"/>
          <w:lang w:eastAsia="zh-CN"/>
        </w:rPr>
        <w:t>叠加</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减小激光冲击强化残余应力阶梯差，实现</w:t>
      </w:r>
      <w:r>
        <w:rPr>
          <w:rFonts w:hint="eastAsia" w:ascii="宋体" w:hAnsi="宋体" w:eastAsia="宋体" w:cs="宋体"/>
          <w:color w:val="000000"/>
          <w:sz w:val="24"/>
          <w:szCs w:val="24"/>
          <w:highlight w:val="none"/>
          <w:lang w:eastAsia="zh-CN"/>
        </w:rPr>
        <w:t>残余</w:t>
      </w:r>
      <w:r>
        <w:rPr>
          <w:rFonts w:hint="eastAsia" w:ascii="宋体" w:hAnsi="宋体" w:cs="宋体"/>
          <w:color w:val="000000"/>
          <w:sz w:val="24"/>
          <w:szCs w:val="24"/>
          <w:highlight w:val="none"/>
          <w:lang w:eastAsia="zh-CN"/>
        </w:rPr>
        <w:t>压</w:t>
      </w:r>
      <w:r>
        <w:rPr>
          <w:rFonts w:hint="eastAsia" w:ascii="宋体" w:hAnsi="宋体" w:eastAsia="宋体" w:cs="宋体"/>
          <w:color w:val="000000"/>
          <w:sz w:val="24"/>
          <w:szCs w:val="24"/>
          <w:highlight w:val="none"/>
          <w:lang w:eastAsia="zh-CN"/>
        </w:rPr>
        <w:t>应力均匀性</w:t>
      </w:r>
      <w:r>
        <w:rPr>
          <w:rFonts w:hint="eastAsia" w:ascii="宋体" w:hAnsi="宋体" w:cs="宋体"/>
          <w:color w:val="000000"/>
          <w:sz w:val="24"/>
          <w:szCs w:val="24"/>
          <w:highlight w:val="none"/>
          <w:lang w:eastAsia="zh-CN"/>
        </w:rPr>
        <w:t>调控</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进一步</w:t>
      </w:r>
      <w:r>
        <w:rPr>
          <w:rFonts w:hint="eastAsia" w:ascii="宋体" w:hAnsi="宋体" w:eastAsia="宋体" w:cs="宋体"/>
          <w:color w:val="000000"/>
          <w:sz w:val="24"/>
          <w:szCs w:val="24"/>
          <w:highlight w:val="none"/>
          <w:lang w:eastAsia="zh-CN"/>
        </w:rPr>
        <w:t>提高试件的疲劳性能。</w:t>
      </w:r>
    </w:p>
    <w:p w14:paraId="58535E4A">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ascii="Times New Roman" w:hAnsi="宋体" w:eastAsia="宋体" w:cs="Times New Roman"/>
          <w:b/>
          <w:sz w:val="24"/>
          <w:szCs w:val="24"/>
          <w:highlight w:val="none"/>
        </w:rPr>
      </w:pPr>
      <w:r>
        <w:rPr>
          <w:rFonts w:hint="eastAsia" w:ascii="Times New Roman" w:hAnsi="宋体" w:eastAsia="宋体" w:cs="Times New Roman"/>
          <w:b/>
          <w:sz w:val="24"/>
          <w:szCs w:val="24"/>
          <w:highlight w:val="none"/>
        </w:rPr>
        <w:t>研究结果的验证方式</w:t>
      </w:r>
    </w:p>
    <w:p w14:paraId="59465542">
      <w:pPr>
        <w:pageBreakBefore w:val="0"/>
        <w:kinsoku/>
        <w:wordWrap/>
        <w:overflowPunct/>
        <w:topLinePunct w:val="0"/>
        <w:autoSpaceDE/>
        <w:autoSpaceDN/>
        <w:bidi w:val="0"/>
        <w:adjustRightInd/>
        <w:snapToGrid/>
        <w:spacing w:after="0" w:line="240" w:lineRule="auto"/>
        <w:ind w:firstLine="480" w:firstLineChars="200"/>
        <w:textAlignment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专家评审、</w:t>
      </w:r>
      <w:r>
        <w:rPr>
          <w:rFonts w:hint="eastAsia" w:ascii="宋体" w:hAnsi="宋体" w:cs="宋体"/>
          <w:color w:val="000000"/>
          <w:sz w:val="24"/>
          <w:szCs w:val="24"/>
          <w:highlight w:val="none"/>
          <w:lang w:eastAsia="zh-CN"/>
        </w:rPr>
        <w:t>性能测试报告</w:t>
      </w:r>
      <w:r>
        <w:rPr>
          <w:rFonts w:hint="eastAsia" w:ascii="宋体" w:hAnsi="宋体" w:eastAsia="宋体" w:cs="宋体"/>
          <w:color w:val="000000"/>
          <w:sz w:val="24"/>
          <w:szCs w:val="24"/>
          <w:highlight w:val="none"/>
        </w:rPr>
        <w:t>、专利</w:t>
      </w:r>
      <w:r>
        <w:rPr>
          <w:rFonts w:hint="eastAsia" w:ascii="宋体" w:hAnsi="宋体" w:cs="宋体"/>
          <w:color w:val="000000"/>
          <w:sz w:val="24"/>
          <w:szCs w:val="24"/>
          <w:highlight w:val="none"/>
          <w:lang w:eastAsia="zh-CN"/>
        </w:rPr>
        <w:t>技术交底书</w:t>
      </w:r>
      <w:r>
        <w:rPr>
          <w:rFonts w:hint="eastAsia" w:ascii="宋体" w:hAnsi="宋体" w:eastAsia="宋体" w:cs="宋体"/>
          <w:color w:val="000000"/>
          <w:sz w:val="24"/>
          <w:szCs w:val="24"/>
          <w:highlight w:val="none"/>
          <w:lang w:eastAsia="zh-CN"/>
        </w:rPr>
        <w:t>。</w:t>
      </w:r>
    </w:p>
    <w:p w14:paraId="0E763382">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预期成果</w:t>
      </w:r>
    </w:p>
    <w:p w14:paraId="406331DB">
      <w:pPr>
        <w:keepNext w:val="0"/>
        <w:keepLines w:val="0"/>
        <w:pageBreakBefore w:val="0"/>
        <w:widowControl w:val="0"/>
        <w:numPr>
          <w:ilvl w:val="0"/>
          <w:numId w:val="33"/>
        </w:numPr>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cs="宋体"/>
          <w:bCs/>
          <w:sz w:val="24"/>
          <w:szCs w:val="24"/>
          <w:highlight w:val="none"/>
          <w:lang w:eastAsia="zh-CN"/>
        </w:rPr>
        <w:t>基于</w:t>
      </w:r>
      <w:r>
        <w:rPr>
          <w:rFonts w:hint="eastAsia" w:ascii="宋体" w:hAnsi="宋体" w:cs="宋体"/>
          <w:bCs/>
          <w:sz w:val="24"/>
          <w:szCs w:val="24"/>
          <w:highlight w:val="none"/>
          <w:lang w:val="en-US" w:eastAsia="zh-CN"/>
        </w:rPr>
        <w:t>Abaqus软件的</w:t>
      </w:r>
      <w:r>
        <w:rPr>
          <w:rFonts w:hint="eastAsia" w:ascii="宋体" w:hAnsi="宋体" w:eastAsia="宋体" w:cs="宋体"/>
          <w:bCs/>
          <w:sz w:val="24"/>
          <w:szCs w:val="24"/>
          <w:highlight w:val="none"/>
        </w:rPr>
        <w:t>复杂结构件</w:t>
      </w:r>
      <w:bookmarkStart w:id="15" w:name="OLE_LINK7"/>
      <w:r>
        <w:rPr>
          <w:rFonts w:hint="eastAsia" w:ascii="宋体" w:hAnsi="宋体" w:eastAsia="宋体" w:cs="宋体"/>
          <w:bCs/>
          <w:sz w:val="24"/>
          <w:szCs w:val="24"/>
          <w:highlight w:val="none"/>
        </w:rPr>
        <w:t>激光冲击强化</w:t>
      </w:r>
      <w:bookmarkEnd w:id="15"/>
      <w:r>
        <w:rPr>
          <w:rFonts w:hint="eastAsia" w:ascii="宋体" w:hAnsi="宋体" w:eastAsia="宋体" w:cs="宋体"/>
          <w:bCs/>
          <w:sz w:val="24"/>
          <w:szCs w:val="24"/>
          <w:highlight w:val="none"/>
        </w:rPr>
        <w:t>仿真模拟</w:t>
      </w:r>
      <w:r>
        <w:rPr>
          <w:rFonts w:hint="eastAsia" w:ascii="宋体" w:hAnsi="宋体" w:cs="宋体"/>
          <w:bCs/>
          <w:sz w:val="24"/>
          <w:szCs w:val="24"/>
          <w:highlight w:val="none"/>
          <w:lang w:eastAsia="zh-CN"/>
        </w:rPr>
        <w:t>插件</w:t>
      </w:r>
      <w:r>
        <w:rPr>
          <w:rFonts w:hint="eastAsia" w:ascii="宋体" w:hAnsi="宋体" w:eastAsia="宋体" w:cs="宋体"/>
          <w:bCs/>
          <w:sz w:val="24"/>
          <w:szCs w:val="24"/>
          <w:highlight w:val="none"/>
        </w:rPr>
        <w:t>1套；</w:t>
      </w:r>
    </w:p>
    <w:p w14:paraId="7B17A99D">
      <w:pPr>
        <w:keepNext w:val="0"/>
        <w:keepLines w:val="0"/>
        <w:pageBreakBefore w:val="0"/>
        <w:widowControl w:val="0"/>
        <w:numPr>
          <w:ilvl w:val="0"/>
          <w:numId w:val="33"/>
        </w:numPr>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激光冲击强化高效强化控制系统1套；</w:t>
      </w:r>
    </w:p>
    <w:p w14:paraId="6CBD149C">
      <w:pPr>
        <w:pageBreakBefore w:val="0"/>
        <w:numPr>
          <w:ilvl w:val="0"/>
          <w:numId w:val="33"/>
        </w:numPr>
        <w:kinsoku/>
        <w:wordWrap/>
        <w:overflowPunct/>
        <w:topLinePunct w:val="0"/>
        <w:autoSpaceDE/>
        <w:autoSpaceDN/>
        <w:bidi w:val="0"/>
        <w:adjustRightInd/>
        <w:snapToGrid/>
        <w:spacing w:line="240" w:lineRule="auto"/>
        <w:ind w:left="0" w:firstLine="480" w:firstLineChars="200"/>
        <w:outlineLvl w:val="9"/>
        <w:rPr>
          <w:rFonts w:hint="eastAsia" w:ascii="宋体" w:hAnsi="宋体" w:cs="宋体"/>
          <w:bCs/>
          <w:szCs w:val="24"/>
          <w:highlight w:val="none"/>
        </w:rPr>
      </w:pPr>
      <w:r>
        <w:rPr>
          <w:rFonts w:hint="eastAsia" w:ascii="宋体" w:hAnsi="宋体" w:cs="宋体"/>
          <w:bCs/>
          <w:sz w:val="24"/>
          <w:szCs w:val="24"/>
          <w:highlight w:val="none"/>
          <w:lang w:val="en-US" w:eastAsia="zh-CN"/>
        </w:rPr>
        <w:t>典型构件</w:t>
      </w:r>
      <w:r>
        <w:rPr>
          <w:rFonts w:hint="eastAsia" w:ascii="宋体" w:hAnsi="宋体" w:cs="宋体"/>
          <w:bCs/>
          <w:szCs w:val="24"/>
          <w:highlight w:val="none"/>
        </w:rPr>
        <w:t>激光</w:t>
      </w:r>
      <w:r>
        <w:rPr>
          <w:rFonts w:hint="eastAsia" w:ascii="宋体" w:hAnsi="宋体" w:cs="宋体"/>
          <w:bCs/>
          <w:szCs w:val="24"/>
          <w:highlight w:val="none"/>
          <w:lang w:eastAsia="zh-CN"/>
        </w:rPr>
        <w:t>冲击</w:t>
      </w:r>
      <w:r>
        <w:rPr>
          <w:rFonts w:hint="eastAsia" w:ascii="宋体" w:hAnsi="宋体" w:cs="宋体"/>
          <w:bCs/>
          <w:szCs w:val="24"/>
          <w:highlight w:val="none"/>
        </w:rPr>
        <w:t>强化加工规划</w:t>
      </w:r>
      <w:r>
        <w:rPr>
          <w:rFonts w:hint="eastAsia" w:ascii="宋体" w:hAnsi="宋体" w:cs="宋体"/>
          <w:bCs/>
          <w:szCs w:val="24"/>
          <w:highlight w:val="none"/>
          <w:lang w:val="en-US" w:eastAsia="zh-CN"/>
        </w:rPr>
        <w:t>与验证</w:t>
      </w:r>
      <w:r>
        <w:rPr>
          <w:rFonts w:hint="eastAsia" w:ascii="宋体" w:hAnsi="宋体" w:cs="宋体"/>
          <w:bCs/>
          <w:szCs w:val="24"/>
          <w:highlight w:val="none"/>
        </w:rPr>
        <w:t>报告1份</w:t>
      </w:r>
      <w:r>
        <w:rPr>
          <w:rFonts w:hint="eastAsia" w:ascii="宋体" w:hAnsi="宋体" w:cs="宋体"/>
          <w:bCs/>
          <w:szCs w:val="24"/>
          <w:highlight w:val="none"/>
          <w:lang w:eastAsia="zh-CN"/>
        </w:rPr>
        <w:t>；</w:t>
      </w:r>
    </w:p>
    <w:p w14:paraId="7104D712">
      <w:pPr>
        <w:keepNext w:val="0"/>
        <w:keepLines w:val="0"/>
        <w:pageBreakBefore w:val="0"/>
        <w:widowControl w:val="0"/>
        <w:numPr>
          <w:ilvl w:val="0"/>
          <w:numId w:val="33"/>
        </w:numPr>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专利1篇；</w:t>
      </w:r>
    </w:p>
    <w:p w14:paraId="70370352">
      <w:pPr>
        <w:keepNext w:val="0"/>
        <w:keepLines w:val="0"/>
        <w:pageBreakBefore w:val="0"/>
        <w:widowControl w:val="0"/>
        <w:numPr>
          <w:ilvl w:val="0"/>
          <w:numId w:val="33"/>
        </w:numPr>
        <w:kinsoku/>
        <w:wordWrap/>
        <w:overflowPunct/>
        <w:topLinePunct w:val="0"/>
        <w:autoSpaceDE/>
        <w:autoSpaceDN/>
        <w:bidi w:val="0"/>
        <w:adjustRightInd/>
        <w:snapToGrid/>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发表论文1篇；</w:t>
      </w:r>
    </w:p>
    <w:p w14:paraId="3EA28A89">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建议研究周期和启动时间</w:t>
      </w:r>
    </w:p>
    <w:p w14:paraId="60BBCE09">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24个月</w:t>
      </w:r>
      <w:r>
        <w:rPr>
          <w:rFonts w:hint="eastAsia" w:ascii="宋体" w:hAnsi="宋体" w:eastAsia="宋体" w:cs="宋体"/>
          <w:color w:val="000000"/>
          <w:sz w:val="24"/>
          <w:szCs w:val="24"/>
          <w:highlight w:val="none"/>
          <w:lang w:eastAsia="zh-CN"/>
        </w:rPr>
        <w:t>。</w:t>
      </w:r>
    </w:p>
    <w:p w14:paraId="6A545124">
      <w:pPr>
        <w:keepNext w:val="0"/>
        <w:keepLines w:val="0"/>
        <w:pageBreakBefore w:val="0"/>
        <w:widowControl w:val="0"/>
        <w:numPr>
          <w:ilvl w:val="0"/>
          <w:numId w:val="30"/>
        </w:numPr>
        <w:kinsoku/>
        <w:wordWrap/>
        <w:overflowPunct/>
        <w:topLinePunct w:val="0"/>
        <w:autoSpaceDE/>
        <w:autoSpaceDN/>
        <w:bidi w:val="0"/>
        <w:adjustRightInd/>
        <w:snapToGrid/>
        <w:spacing w:line="240" w:lineRule="auto"/>
        <w:ind w:left="0"/>
        <w:textAlignment w:val="auto"/>
        <w:outlineLvl w:val="9"/>
        <w:rPr>
          <w:rFonts w:hAnsi="黑体" w:eastAsia="黑体"/>
          <w:sz w:val="24"/>
          <w:highlight w:val="none"/>
        </w:rPr>
      </w:pPr>
      <w:r>
        <w:rPr>
          <w:rFonts w:hint="eastAsia" w:hAnsi="黑体" w:eastAsia="黑体"/>
          <w:sz w:val="24"/>
          <w:highlight w:val="none"/>
        </w:rPr>
        <w:t>所需研究经费</w:t>
      </w:r>
    </w:p>
    <w:p w14:paraId="14BAF1D6">
      <w:pPr>
        <w:keepNext w:val="0"/>
        <w:keepLines w:val="0"/>
        <w:pageBreakBefore w:val="0"/>
        <w:kinsoku/>
        <w:wordWrap/>
        <w:overflowPunct/>
        <w:topLinePunct w:val="0"/>
        <w:autoSpaceDE/>
        <w:autoSpaceDN/>
        <w:bidi w:val="0"/>
        <w:adjustRightInd/>
        <w:snapToGrid/>
        <w:spacing w:line="240" w:lineRule="auto"/>
        <w:ind w:left="0" w:leftChars="0"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50万元</w:t>
      </w:r>
      <w:r>
        <w:rPr>
          <w:rFonts w:hint="eastAsia" w:ascii="宋体" w:hAnsi="宋体" w:eastAsia="宋体" w:cs="宋体"/>
          <w:color w:val="000000"/>
          <w:sz w:val="24"/>
          <w:szCs w:val="24"/>
          <w:highlight w:val="none"/>
          <w:lang w:eastAsia="zh-CN"/>
        </w:rPr>
        <w:t>。</w:t>
      </w:r>
    </w:p>
    <w:p w14:paraId="22C9B576">
      <w:pPr>
        <w:pStyle w:val="8"/>
        <w:pageBreakBefore w:val="0"/>
        <w:kinsoku/>
        <w:wordWrap/>
        <w:topLinePunct w:val="0"/>
        <w:autoSpaceDE/>
        <w:autoSpaceDN/>
        <w:bidi w:val="0"/>
        <w:spacing w:line="240" w:lineRule="auto"/>
        <w:rPr>
          <w:rFonts w:hint="eastAsia"/>
          <w:highlight w:val="none"/>
          <w:lang w:eastAsia="zh-CN"/>
        </w:rPr>
      </w:pPr>
    </w:p>
    <w:p w14:paraId="4D9588B9">
      <w:pPr>
        <w:pStyle w:val="8"/>
        <w:pageBreakBefore w:val="0"/>
        <w:kinsoku/>
        <w:wordWrap/>
        <w:topLinePunct w:val="0"/>
        <w:autoSpaceDE/>
        <w:autoSpaceDN/>
        <w:bidi w:val="0"/>
        <w:spacing w:line="240" w:lineRule="auto"/>
        <w:rPr>
          <w:highlight w:val="none"/>
        </w:rPr>
        <w:sectPr>
          <w:pgSz w:w="11906" w:h="16838"/>
          <w:pgMar w:top="1440" w:right="1800" w:bottom="1440" w:left="1800" w:header="851" w:footer="992" w:gutter="0"/>
          <w:cols w:space="425" w:num="1"/>
          <w:docGrid w:type="lines" w:linePitch="312" w:charSpace="0"/>
        </w:sectPr>
      </w:pPr>
    </w:p>
    <w:p w14:paraId="09355658">
      <w:pPr>
        <w:pStyle w:val="2"/>
        <w:pageBreakBefore w:val="0"/>
        <w:kinsoku/>
        <w:wordWrap/>
        <w:topLinePunct w:val="0"/>
        <w:autoSpaceDE/>
        <w:autoSpaceDN/>
        <w:bidi w:val="0"/>
        <w:spacing w:line="240" w:lineRule="auto"/>
        <w:rPr>
          <w:rFonts w:hint="eastAsia" w:eastAsia="宋体"/>
          <w:highlight w:val="none"/>
        </w:rPr>
      </w:pPr>
      <w:bookmarkStart w:id="16" w:name="_Toc15534"/>
      <w:bookmarkStart w:id="17" w:name="_Toc21623"/>
      <w:r>
        <w:rPr>
          <w:rFonts w:hint="eastAsia" w:eastAsia="宋体"/>
          <w:highlight w:val="none"/>
        </w:rPr>
        <w:t>基于在线监测的激光选区熔化TC4合金热平衡与形性前馈控制技术</w:t>
      </w:r>
      <w:bookmarkEnd w:id="16"/>
      <w:bookmarkEnd w:id="17"/>
    </w:p>
    <w:p w14:paraId="2E6BE452">
      <w:pPr>
        <w:pageBreakBefore w:val="0"/>
        <w:numPr>
          <w:ilvl w:val="0"/>
          <w:numId w:val="4"/>
        </w:numPr>
        <w:kinsoku/>
        <w:wordWrap/>
        <w:topLinePunct w:val="0"/>
        <w:autoSpaceDE/>
        <w:autoSpaceDN/>
        <w:bidi w:val="0"/>
        <w:spacing w:line="240" w:lineRule="auto"/>
        <w:ind w:left="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5D2AEE0D">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激光选区熔化（Selective laser melting, SLM）增材制造技术是近年来增材制造领域的重要发展方向，TC4钛合金是民机领域的关重材料，SLM利用微细激光束逐点、逐道、逐层熔化TC4金属粉末，并通过微小熔池累加的成形方式为高性能TC4钛合金复杂零件整体制造提供新技术手段。目前SLM大多是根据实验或者仿真确定成形合金的最优工艺参数，并在成形中保持工艺参数固定。但是，在制造复杂结构时不同区域产生的热作用并不一致，且层间能量累积产生过热效应，容易引起局部应力集中、组织长大、微裂纹和孔隙增多等缺陷，致使力学性能降低，甚至是严重影响复杂结构零件制造的成功率，极大地限制了SLM在航空航天等关键领域的应用。因此，有必要针对TC4钛合金激光选区熔化增材制造的智能化工艺展开研究，在零件制造过程中通过在线温度监测，开发基于机器学习的热累积预测模型，开发自适应工艺参数优化方法，平衡不同区域的热作用效应并抑制层间热积累，以此减少产生气孔和裂纹等缺陷的几率，提高复杂零件制造的稳定性和最终零件的力学性能，为在线式动态工艺参数优化与闭环控制技术的发展奠定基础。</w:t>
      </w:r>
    </w:p>
    <w:p w14:paraId="4FB79EFC">
      <w:pPr>
        <w:pageBreakBefore w:val="0"/>
        <w:numPr>
          <w:ilvl w:val="0"/>
          <w:numId w:val="4"/>
        </w:numPr>
        <w:kinsoku/>
        <w:wordWrap/>
        <w:topLinePunct w:val="0"/>
        <w:autoSpaceDE/>
        <w:autoSpaceDN/>
        <w:bidi w:val="0"/>
        <w:spacing w:line="240" w:lineRule="auto"/>
        <w:ind w:left="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184FC916">
      <w:pPr>
        <w:pageBreakBefore w:val="0"/>
        <w:kinsoku/>
        <w:wordWrap/>
        <w:overflowPunct w:val="0"/>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增材制造</w:t>
      </w:r>
    </w:p>
    <w:p w14:paraId="480A49AD">
      <w:pPr>
        <w:pageBreakBefore w:val="0"/>
        <w:numPr>
          <w:ilvl w:val="0"/>
          <w:numId w:val="4"/>
        </w:numPr>
        <w:kinsoku/>
        <w:wordWrap/>
        <w:topLinePunct w:val="0"/>
        <w:autoSpaceDE/>
        <w:autoSpaceDN/>
        <w:bidi w:val="0"/>
        <w:spacing w:line="240" w:lineRule="auto"/>
        <w:ind w:left="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67621C34">
      <w:pPr>
        <w:pageBreakBefore w:val="0"/>
        <w:kinsoku/>
        <w:wordWrap/>
        <w:topLinePunct w:val="0"/>
        <w:autoSpaceDE/>
        <w:autoSpaceDN/>
        <w:bidi w:val="0"/>
        <w:spacing w:line="240" w:lineRule="auto"/>
        <w:ind w:firstLine="482" w:firstLineChars="200"/>
        <w:rPr>
          <w:rFonts w:ascii="Times New Roman" w:hAnsi="Times New Roman" w:eastAsia="仿宋" w:cs="Times New Roman"/>
          <w:color w:val="FF0000"/>
          <w:sz w:val="24"/>
          <w:highlight w:val="none"/>
        </w:rPr>
      </w:pPr>
      <w:r>
        <w:rPr>
          <w:rFonts w:ascii="Times New Roman" w:hAnsi="Times New Roman" w:eastAsia="仿宋" w:cs="Times New Roman"/>
          <w:b/>
          <w:sz w:val="24"/>
          <w:highlight w:val="none"/>
        </w:rPr>
        <w:t>项目目标：</w:t>
      </w:r>
    </w:p>
    <w:p w14:paraId="1994A335">
      <w:pPr>
        <w:pageBreakBefore w:val="0"/>
        <w:kinsoku/>
        <w:wordWrap/>
        <w:overflowPunct w:val="0"/>
        <w:topLinePunct w:val="0"/>
        <w:autoSpaceDE/>
        <w:autoSpaceDN/>
        <w:bidi w:val="0"/>
        <w:spacing w:line="24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面向大型民用客机对TC4钛合金SLM成形复杂零件过程中热平衡及组织与性能均匀控制需求，揭示工艺参数与结构特征对复杂零件热分布/热累积及组织与性能的影响规律，构建相应的结构-工艺-热分布/热累积-几何变形、缺陷及组织数据集，开发基于机器学习的自适应工艺前馈控制模型，实现复杂零件成形过程中热分布/热累积的一致性调控，降低局部热累积导致变形以及热平衡差异诱发的缺陷、组织及力学性能差异，掌握基于智能工艺参数的复杂零件热平衡与形性调控技术。</w:t>
      </w:r>
    </w:p>
    <w:p w14:paraId="0148A712">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技术指标：</w:t>
      </w:r>
    </w:p>
    <w:p w14:paraId="4D88179D">
      <w:pPr>
        <w:pStyle w:val="16"/>
        <w:pageBreakBefore w:val="0"/>
        <w:numPr>
          <w:ilvl w:val="0"/>
          <w:numId w:val="34"/>
        </w:numPr>
        <w:kinsoku/>
        <w:wordWrap/>
        <w:topLinePunct w:val="0"/>
        <w:autoSpaceDE/>
        <w:autoSpaceDN/>
        <w:bidi w:val="0"/>
        <w:spacing w:line="240" w:lineRule="auto"/>
        <w:ind w:left="802" w:leftChars="150" w:hanging="442" w:firstLineChars="0"/>
        <w:rPr>
          <w:rFonts w:hint="eastAsia" w:ascii="宋体" w:hAnsi="宋体" w:eastAsia="宋体" w:cs="宋体"/>
          <w:bCs/>
          <w:sz w:val="24"/>
          <w:highlight w:val="none"/>
        </w:rPr>
      </w:pPr>
      <w:r>
        <w:rPr>
          <w:rFonts w:hint="eastAsia" w:ascii="宋体" w:hAnsi="宋体" w:eastAsia="宋体" w:cs="宋体"/>
          <w:bCs/>
          <w:sz w:val="24"/>
          <w:highlight w:val="none"/>
        </w:rPr>
        <w:t>可实现具有低角度悬垂特征（＜30度）零件的少/无支撑打印成型。</w:t>
      </w:r>
    </w:p>
    <w:p w14:paraId="0EC5B407">
      <w:pPr>
        <w:pStyle w:val="16"/>
        <w:pageBreakBefore w:val="0"/>
        <w:numPr>
          <w:ilvl w:val="0"/>
          <w:numId w:val="34"/>
        </w:numPr>
        <w:kinsoku/>
        <w:wordWrap/>
        <w:topLinePunct w:val="0"/>
        <w:autoSpaceDE/>
        <w:autoSpaceDN/>
        <w:bidi w:val="0"/>
        <w:adjustRightInd w:val="0"/>
        <w:spacing w:line="240" w:lineRule="auto"/>
        <w:ind w:left="802" w:leftChars="150" w:hanging="442" w:firstLineChars="0"/>
        <w:rPr>
          <w:rFonts w:hint="eastAsia" w:ascii="宋体" w:hAnsi="宋体" w:eastAsia="宋体" w:cs="宋体"/>
          <w:bCs/>
          <w:sz w:val="24"/>
          <w:szCs w:val="24"/>
          <w:highlight w:val="none"/>
        </w:rPr>
      </w:pPr>
      <w:r>
        <w:rPr>
          <w:rFonts w:hint="eastAsia" w:ascii="宋体" w:hAnsi="宋体" w:eastAsia="宋体" w:cs="宋体"/>
          <w:bCs/>
          <w:sz w:val="24"/>
          <w:highlight w:val="none"/>
        </w:rPr>
        <w:t>SLM智能工艺成形TC4钛合金零件内晶粒均匀度提高20%，典型零件（高度≥280mm）单件打印（层间铺粉时间不超过15秒）拉伸强度偏差值≤30MPa。</w:t>
      </w:r>
    </w:p>
    <w:p w14:paraId="274922DD">
      <w:pPr>
        <w:pStyle w:val="16"/>
        <w:pageBreakBefore w:val="0"/>
        <w:numPr>
          <w:ilvl w:val="0"/>
          <w:numId w:val="34"/>
        </w:numPr>
        <w:kinsoku/>
        <w:wordWrap/>
        <w:topLinePunct w:val="0"/>
        <w:autoSpaceDE/>
        <w:autoSpaceDN/>
        <w:bidi w:val="0"/>
        <w:adjustRightInd w:val="0"/>
        <w:spacing w:line="240" w:lineRule="auto"/>
        <w:ind w:left="802" w:leftChars="150" w:hanging="442" w:firstLineChars="0"/>
        <w:rPr>
          <w:rFonts w:hint="eastAsia" w:ascii="宋体" w:hAnsi="宋体" w:eastAsia="宋体" w:cs="宋体"/>
          <w:bCs/>
          <w:sz w:val="24"/>
          <w:szCs w:val="24"/>
          <w:highlight w:val="none"/>
        </w:rPr>
      </w:pPr>
      <w:r>
        <w:rPr>
          <w:rFonts w:hint="eastAsia" w:ascii="宋体" w:hAnsi="宋体" w:eastAsia="宋体" w:cs="宋体"/>
          <w:bCs/>
          <w:sz w:val="24"/>
          <w:highlight w:val="none"/>
        </w:rPr>
        <w:t>基于在线监测的热辐射强度预测模型：平均绝对误差值≤20，决定系数R</w:t>
      </w:r>
      <w:r>
        <w:rPr>
          <w:rFonts w:hint="eastAsia" w:ascii="宋体" w:hAnsi="宋体" w:eastAsia="宋体" w:cs="宋体"/>
          <w:bCs/>
          <w:sz w:val="24"/>
          <w:highlight w:val="none"/>
          <w:vertAlign w:val="superscript"/>
        </w:rPr>
        <w:t>2</w:t>
      </w:r>
      <w:r>
        <w:rPr>
          <w:rFonts w:hint="eastAsia" w:ascii="宋体" w:hAnsi="宋体" w:eastAsia="宋体" w:cs="宋体"/>
          <w:bCs/>
          <w:sz w:val="24"/>
          <w:highlight w:val="none"/>
        </w:rPr>
        <w:t>≥0.85</w:t>
      </w:r>
    </w:p>
    <w:p w14:paraId="3A8BD667">
      <w:pPr>
        <w:pageBreakBefore w:val="0"/>
        <w:kinsoku/>
        <w:wordWrap/>
        <w:topLinePunct w:val="0"/>
        <w:autoSpaceDE/>
        <w:autoSpaceDN/>
        <w:bidi w:val="0"/>
        <w:spacing w:line="240" w:lineRule="auto"/>
        <w:rPr>
          <w:rFonts w:hint="eastAsia" w:ascii="宋体" w:hAnsi="宋体" w:eastAsia="宋体" w:cs="宋体"/>
          <w:bCs/>
          <w:sz w:val="24"/>
          <w:szCs w:val="24"/>
          <w:highlight w:val="none"/>
        </w:rPr>
      </w:pPr>
    </w:p>
    <w:p w14:paraId="415535C0">
      <w:pPr>
        <w:pageBreakBefore w:val="0"/>
        <w:numPr>
          <w:ilvl w:val="0"/>
          <w:numId w:val="4"/>
        </w:numPr>
        <w:kinsoku/>
        <w:wordWrap/>
        <w:topLinePunct w:val="0"/>
        <w:autoSpaceDE/>
        <w:autoSpaceDN/>
        <w:bidi w:val="0"/>
        <w:spacing w:line="240" w:lineRule="auto"/>
        <w:ind w:left="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3EB9255D">
      <w:pPr>
        <w:pStyle w:val="6"/>
        <w:pageBreakBefore w:val="0"/>
        <w:kinsoku/>
        <w:wordWrap/>
        <w:topLinePunct w:val="0"/>
        <w:autoSpaceDE/>
        <w:autoSpaceDN/>
        <w:bidi w:val="0"/>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（1）非均匀循环热输入下典型特征的热分布与微观组织变化规律研究</w:t>
      </w:r>
    </w:p>
    <w:p w14:paraId="730F644E">
      <w:pPr>
        <w:pStyle w:val="6"/>
        <w:pageBreakBefore w:val="0"/>
        <w:kinsoku/>
        <w:wordWrap/>
        <w:topLinePunct w:val="0"/>
        <w:autoSpaceDE/>
        <w:autoSpaceDN/>
        <w:bidi w:val="0"/>
        <w:spacing w:line="24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基于琴键/支座等典型零件,设计包含薄壁、悬垂、几何突变、拐角等特征结构，利用在线监测手段，开展结构特征、排布方式及参数策略对成形过程中热分布/热累积影响规律研究，揭示热历史/热累积与几何变形及缺陷与微观组织变异的相关性，</w:t>
      </w:r>
      <w:r>
        <w:rPr>
          <w:rFonts w:hint="eastAsia" w:ascii="宋体" w:hAnsi="宋体" w:eastAsia="宋体" w:cs="宋体"/>
          <w:bCs/>
          <w:sz w:val="24"/>
          <w:highlight w:val="none"/>
        </w:rPr>
        <w:t>构建相应的结构-工艺-热分布/热累积-变几何形、缺陷及组织数据集。</w:t>
      </w:r>
    </w:p>
    <w:p w14:paraId="2DEEC2DC">
      <w:pPr>
        <w:pStyle w:val="6"/>
        <w:pageBreakBefore w:val="0"/>
        <w:kinsoku/>
        <w:wordWrap/>
        <w:topLinePunct w:val="0"/>
        <w:autoSpaceDE/>
        <w:autoSpaceDN/>
        <w:bidi w:val="0"/>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（2）SLM智能工艺参数开发与热平衡控制方法研究</w:t>
      </w:r>
    </w:p>
    <w:p w14:paraId="1EE1A961">
      <w:pPr>
        <w:pStyle w:val="6"/>
        <w:pageBreakBefore w:val="0"/>
        <w:kinsoku/>
        <w:wordWrap/>
        <w:topLinePunct w:val="0"/>
        <w:autoSpaceDE/>
        <w:autoSpaceDN/>
        <w:bidi w:val="0"/>
        <w:spacing w:line="240" w:lineRule="auto"/>
        <w:ind w:firstLine="480" w:firstLineChars="200"/>
        <w:rPr>
          <w:rFonts w:hint="eastAsia" w:ascii="宋体" w:hAnsi="宋体" w:eastAsia="宋体" w:cs="宋体"/>
          <w:bCs/>
          <w:sz w:val="24"/>
          <w:highlight w:val="none"/>
        </w:rPr>
      </w:pPr>
      <w:r>
        <w:rPr>
          <w:rFonts w:hint="eastAsia" w:ascii="宋体" w:hAnsi="宋体" w:eastAsia="宋体" w:cs="宋体"/>
          <w:sz w:val="24"/>
          <w:highlight w:val="none"/>
        </w:rPr>
        <w:t>基于研究内容（1）构建的</w:t>
      </w:r>
      <w:r>
        <w:rPr>
          <w:rFonts w:hint="eastAsia" w:ascii="宋体" w:hAnsi="宋体" w:eastAsia="宋体" w:cs="宋体"/>
          <w:bCs/>
          <w:sz w:val="24"/>
          <w:highlight w:val="none"/>
        </w:rPr>
        <w:t>结构-工艺-热分布/热累积数据集，开发基于机器学习的"几何特征-工艺参数-热信号"预测模型；通过设计DOE实验矩阵（变量：激光功率、扫描速度、层间冷却时间等），研究工艺参数/策略对熔池热分布的作用机制与调控规律，开发工艺参数自适应优化方法，实现典型特征结构的热平衡与几何变形控制。</w:t>
      </w:r>
    </w:p>
    <w:p w14:paraId="2A071AC7">
      <w:pPr>
        <w:pStyle w:val="6"/>
        <w:pageBreakBefore w:val="0"/>
        <w:kinsoku/>
        <w:wordWrap/>
        <w:topLinePunct w:val="0"/>
        <w:autoSpaceDE/>
        <w:autoSpaceDN/>
        <w:bidi w:val="0"/>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（3）SLM智能工艺成形微观组织与性能评价及优化方法研究</w:t>
      </w:r>
    </w:p>
    <w:p w14:paraId="670B5DC9">
      <w:pPr>
        <w:pageBreakBefore w:val="0"/>
        <w:kinsoku/>
        <w:wordWrap/>
        <w:topLinePunct w:val="0"/>
        <w:autoSpaceDE/>
        <w:autoSpaceDN/>
        <w:bidi w:val="0"/>
        <w:spacing w:line="24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开展SLM智能工艺实现热平衡后的典型特征结构微观组织与性能评价及优化方法研究。研究自适应工艺参数优化策略对材料微观组织及力学性能的影响规律，探究能量输入对微区熔池凝固与冷却及微观组织演变的影响规律，迭代工艺参数自适应优化算法，建立典型特征结构的微观组织与力学性能均匀化调控方法。</w:t>
      </w:r>
    </w:p>
    <w:p w14:paraId="1ED9EAC1">
      <w:pPr>
        <w:pStyle w:val="6"/>
        <w:pageBreakBefore w:val="0"/>
        <w:kinsoku/>
        <w:wordWrap/>
        <w:topLinePunct w:val="0"/>
        <w:autoSpaceDE/>
        <w:autoSpaceDN/>
        <w:bidi w:val="0"/>
        <w:spacing w:line="240" w:lineRule="auto"/>
        <w:rPr>
          <w:rFonts w:hint="eastAsia" w:ascii="宋体" w:hAnsi="宋体" w:eastAsia="宋体" w:cs="宋体"/>
          <w:b/>
          <w:bCs/>
          <w:sz w:val="24"/>
          <w:highlight w:val="none"/>
        </w:rPr>
      </w:pPr>
      <w:r>
        <w:rPr>
          <w:rFonts w:hint="eastAsia" w:ascii="宋体" w:hAnsi="宋体" w:eastAsia="宋体" w:cs="宋体"/>
          <w:b/>
          <w:bCs/>
          <w:sz w:val="24"/>
          <w:highlight w:val="none"/>
        </w:rPr>
        <w:t>（4）SLM智能工艺成形典型零件验证与评价分析</w:t>
      </w:r>
    </w:p>
    <w:p w14:paraId="4C41610C">
      <w:pPr>
        <w:pStyle w:val="6"/>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开展SLM智能工艺模型成形典型复杂结构零件的热平衡及形性控制评价研究。基于成形复杂零件的在线监测及离线检测评价结果，对比分析SLM智能工艺参数与传统全局固定参数下的琴键与阵风锁支座等多类复杂零件典型位置的微观组织、缺陷及力学性能的差异性，评估SLM智能工艺模型的有效性与泛化能力。</w:t>
      </w:r>
    </w:p>
    <w:p w14:paraId="185E829A">
      <w:pPr>
        <w:pageBreakBefore w:val="0"/>
        <w:numPr>
          <w:ilvl w:val="0"/>
          <w:numId w:val="4"/>
        </w:numPr>
        <w:kinsoku/>
        <w:wordWrap/>
        <w:topLinePunct w:val="0"/>
        <w:autoSpaceDE/>
        <w:autoSpaceDN/>
        <w:bidi w:val="0"/>
        <w:spacing w:line="240" w:lineRule="auto"/>
        <w:ind w:left="5" w:leftChars="0" w:hanging="425"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预期成果</w:t>
      </w:r>
    </w:p>
    <w:p w14:paraId="5A9B4FF4">
      <w:pPr>
        <w:pStyle w:val="16"/>
        <w:pageBreakBefore w:val="0"/>
        <w:numPr>
          <w:ilvl w:val="1"/>
          <w:numId w:val="35"/>
        </w:numPr>
        <w:kinsoku/>
        <w:wordWrap/>
        <w:topLinePunct w:val="0"/>
        <w:autoSpaceDE/>
        <w:autoSpaceDN/>
        <w:bidi w:val="0"/>
        <w:spacing w:line="240" w:lineRule="auto"/>
        <w:ind w:left="802" w:leftChars="150" w:hanging="442" w:firstLineChars="0"/>
        <w:rPr>
          <w:rFonts w:hint="eastAsia" w:ascii="宋体" w:hAnsi="宋体" w:eastAsia="宋体" w:cs="宋体"/>
          <w:bCs/>
          <w:sz w:val="24"/>
          <w:szCs w:val="22"/>
          <w:highlight w:val="none"/>
        </w:rPr>
      </w:pPr>
      <w:r>
        <w:rPr>
          <w:rFonts w:hint="eastAsia" w:ascii="宋体" w:hAnsi="宋体" w:eastAsia="宋体" w:cs="宋体"/>
          <w:bCs/>
          <w:sz w:val="24"/>
          <w:highlight w:val="none"/>
        </w:rPr>
        <w:t>SLM智能工艺成形</w:t>
      </w:r>
      <w:r>
        <w:rPr>
          <w:rFonts w:hint="eastAsia" w:ascii="宋体" w:hAnsi="宋体" w:eastAsia="宋体" w:cs="宋体"/>
          <w:bCs/>
          <w:sz w:val="24"/>
          <w:szCs w:val="22"/>
          <w:highlight w:val="none"/>
        </w:rPr>
        <w:t>TC4钛合金热平衡控制研究报告1份；</w:t>
      </w:r>
    </w:p>
    <w:p w14:paraId="2A80E65B">
      <w:pPr>
        <w:pStyle w:val="16"/>
        <w:pageBreakBefore w:val="0"/>
        <w:numPr>
          <w:ilvl w:val="1"/>
          <w:numId w:val="35"/>
        </w:numPr>
        <w:kinsoku/>
        <w:wordWrap/>
        <w:topLinePunct w:val="0"/>
        <w:autoSpaceDE/>
        <w:autoSpaceDN/>
        <w:bidi w:val="0"/>
        <w:spacing w:line="240" w:lineRule="auto"/>
        <w:ind w:left="802" w:leftChars="150" w:hanging="442" w:firstLineChars="0"/>
        <w:rPr>
          <w:rFonts w:hint="eastAsia" w:ascii="宋体" w:hAnsi="宋体" w:eastAsia="宋体" w:cs="宋体"/>
          <w:bCs/>
          <w:sz w:val="24"/>
          <w:szCs w:val="22"/>
          <w:highlight w:val="none"/>
        </w:rPr>
      </w:pPr>
      <w:r>
        <w:rPr>
          <w:rFonts w:hint="eastAsia" w:ascii="宋体" w:hAnsi="宋体" w:eastAsia="宋体" w:cs="宋体"/>
          <w:bCs/>
          <w:sz w:val="24"/>
          <w:highlight w:val="none"/>
        </w:rPr>
        <w:t>SLM智能工艺成形</w:t>
      </w:r>
      <w:r>
        <w:rPr>
          <w:rFonts w:hint="eastAsia" w:ascii="宋体" w:hAnsi="宋体" w:eastAsia="宋体" w:cs="宋体"/>
          <w:bCs/>
          <w:sz w:val="24"/>
          <w:szCs w:val="22"/>
          <w:highlight w:val="none"/>
        </w:rPr>
        <w:t>TC4钛合金缺陷抑制与组织性能调控研究报告1份；</w:t>
      </w:r>
    </w:p>
    <w:p w14:paraId="57AF11B8">
      <w:pPr>
        <w:pStyle w:val="16"/>
        <w:pageBreakBefore w:val="0"/>
        <w:numPr>
          <w:ilvl w:val="1"/>
          <w:numId w:val="35"/>
        </w:numPr>
        <w:kinsoku/>
        <w:wordWrap/>
        <w:topLinePunct w:val="0"/>
        <w:autoSpaceDE/>
        <w:autoSpaceDN/>
        <w:bidi w:val="0"/>
        <w:spacing w:line="240" w:lineRule="auto"/>
        <w:ind w:left="802" w:leftChars="150" w:hanging="442" w:firstLineChars="0"/>
        <w:rPr>
          <w:rFonts w:hint="eastAsia" w:ascii="宋体" w:hAnsi="宋体" w:eastAsia="宋体" w:cs="宋体"/>
          <w:bCs/>
          <w:sz w:val="24"/>
          <w:highlight w:val="none"/>
        </w:rPr>
      </w:pPr>
      <w:r>
        <w:rPr>
          <w:rFonts w:hint="eastAsia" w:ascii="宋体" w:hAnsi="宋体" w:eastAsia="宋体" w:cs="宋体"/>
          <w:bCs/>
          <w:sz w:val="24"/>
          <w:szCs w:val="22"/>
          <w:highlight w:val="none"/>
        </w:rPr>
        <w:t>TC4钛合金SLM热分布预测及工艺参数自适应前馈模型</w:t>
      </w:r>
      <w:r>
        <w:rPr>
          <w:rFonts w:hint="eastAsia" w:ascii="宋体" w:hAnsi="宋体" w:eastAsia="宋体" w:cs="宋体"/>
          <w:bCs/>
          <w:sz w:val="24"/>
          <w:highlight w:val="none"/>
        </w:rPr>
        <w:t>1套，包含源代码与代码注释。</w:t>
      </w:r>
    </w:p>
    <w:p w14:paraId="4C55384F">
      <w:pPr>
        <w:pStyle w:val="16"/>
        <w:pageBreakBefore w:val="0"/>
        <w:numPr>
          <w:ilvl w:val="1"/>
          <w:numId w:val="35"/>
        </w:numPr>
        <w:kinsoku/>
        <w:wordWrap/>
        <w:topLinePunct w:val="0"/>
        <w:autoSpaceDE/>
        <w:autoSpaceDN/>
        <w:bidi w:val="0"/>
        <w:spacing w:line="240" w:lineRule="auto"/>
        <w:ind w:left="802" w:leftChars="150" w:hanging="442" w:firstLineChars="0"/>
        <w:rPr>
          <w:rFonts w:hint="eastAsia" w:ascii="宋体" w:hAnsi="宋体" w:eastAsia="宋体" w:cs="宋体"/>
          <w:bCs/>
          <w:sz w:val="24"/>
          <w:highlight w:val="none"/>
        </w:rPr>
      </w:pPr>
      <w:r>
        <w:rPr>
          <w:rFonts w:hint="eastAsia" w:ascii="宋体" w:hAnsi="宋体" w:eastAsia="宋体" w:cs="宋体"/>
          <w:bCs/>
          <w:sz w:val="24"/>
          <w:szCs w:val="22"/>
          <w:highlight w:val="none"/>
        </w:rPr>
        <w:t>基于前馈控制模型打印的典型零件实物1件（货舱门琴键铰链）</w:t>
      </w:r>
      <w:r>
        <w:rPr>
          <w:rFonts w:hint="eastAsia" w:ascii="宋体" w:hAnsi="宋体" w:eastAsia="宋体" w:cs="宋体"/>
          <w:bCs/>
          <w:sz w:val="24"/>
          <w:highlight w:val="none"/>
        </w:rPr>
        <w:t>。</w:t>
      </w:r>
    </w:p>
    <w:p w14:paraId="6A978D00">
      <w:pPr>
        <w:pStyle w:val="16"/>
        <w:pageBreakBefore w:val="0"/>
        <w:numPr>
          <w:ilvl w:val="1"/>
          <w:numId w:val="35"/>
        </w:numPr>
        <w:kinsoku/>
        <w:wordWrap/>
        <w:topLinePunct w:val="0"/>
        <w:autoSpaceDE/>
        <w:autoSpaceDN/>
        <w:bidi w:val="0"/>
        <w:spacing w:line="240" w:lineRule="auto"/>
        <w:ind w:left="802" w:leftChars="150" w:hanging="442" w:firstLineChars="0"/>
        <w:rPr>
          <w:rFonts w:hint="eastAsia" w:ascii="宋体" w:hAnsi="宋体" w:eastAsia="宋体" w:cs="宋体"/>
          <w:bCs/>
          <w:sz w:val="24"/>
          <w:highlight w:val="none"/>
        </w:rPr>
      </w:pPr>
      <w:r>
        <w:rPr>
          <w:rFonts w:hint="eastAsia" w:ascii="宋体" w:hAnsi="宋体" w:eastAsia="宋体" w:cs="宋体"/>
          <w:bCs/>
          <w:sz w:val="24"/>
          <w:highlight w:val="none"/>
        </w:rPr>
        <w:t>典型特征的模型—工艺参数—热分布—缺陷—组织数据集（数据集＞100组，累计打印层数＞5万层）</w:t>
      </w:r>
    </w:p>
    <w:p w14:paraId="4F66BDEE">
      <w:pPr>
        <w:pageBreakBefore w:val="0"/>
        <w:kinsoku/>
        <w:wordWrap/>
        <w:topLinePunct w:val="0"/>
        <w:autoSpaceDE/>
        <w:autoSpaceDN/>
        <w:bidi w:val="0"/>
        <w:spacing w:line="240" w:lineRule="auto"/>
        <w:ind w:left="0" w:leftChars="0" w:firstLine="0" w:firstLineChars="0"/>
        <w:rPr>
          <w:rFonts w:hint="eastAsia" w:ascii="宋体" w:hAnsi="宋体" w:eastAsia="宋体" w:cs="宋体"/>
          <w:bCs/>
          <w:sz w:val="24"/>
          <w:szCs w:val="24"/>
          <w:highlight w:val="none"/>
        </w:rPr>
      </w:pPr>
    </w:p>
    <w:p w14:paraId="129BD0B9">
      <w:pPr>
        <w:pageBreakBefore w:val="0"/>
        <w:numPr>
          <w:ilvl w:val="0"/>
          <w:numId w:val="4"/>
        </w:numPr>
        <w:kinsoku/>
        <w:wordWrap/>
        <w:topLinePunct w:val="0"/>
        <w:autoSpaceDE/>
        <w:autoSpaceDN/>
        <w:bidi w:val="0"/>
        <w:spacing w:line="240" w:lineRule="auto"/>
        <w:ind w:left="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7337B69C">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w:t>
      </w:r>
      <w:r>
        <w:rPr>
          <w:rFonts w:hint="eastAsia" w:ascii="宋体" w:hAnsi="宋体" w:eastAsia="宋体" w:cs="宋体"/>
          <w:bCs/>
          <w:sz w:val="24"/>
          <w:szCs w:val="24"/>
          <w:highlight w:val="none"/>
          <w:lang w:eastAsia="zh-CN"/>
        </w:rPr>
        <w:t>个月</w:t>
      </w:r>
      <w:r>
        <w:rPr>
          <w:rFonts w:hint="eastAsia" w:ascii="宋体" w:hAnsi="宋体" w:eastAsia="宋体" w:cs="宋体"/>
          <w:bCs/>
          <w:sz w:val="24"/>
          <w:szCs w:val="24"/>
          <w:highlight w:val="none"/>
        </w:rPr>
        <w:t>。</w:t>
      </w:r>
    </w:p>
    <w:p w14:paraId="40475A30">
      <w:pPr>
        <w:pageBreakBefore w:val="0"/>
        <w:numPr>
          <w:ilvl w:val="0"/>
          <w:numId w:val="4"/>
        </w:numPr>
        <w:kinsoku/>
        <w:wordWrap/>
        <w:topLinePunct w:val="0"/>
        <w:autoSpaceDE/>
        <w:autoSpaceDN/>
        <w:bidi w:val="0"/>
        <w:spacing w:line="240" w:lineRule="auto"/>
        <w:ind w:left="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72DB7312">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50 万元。</w:t>
      </w:r>
    </w:p>
    <w:p w14:paraId="3A98B46A">
      <w:pPr>
        <w:pStyle w:val="8"/>
        <w:pageBreakBefore w:val="0"/>
        <w:kinsoku/>
        <w:wordWrap/>
        <w:topLinePunct w:val="0"/>
        <w:autoSpaceDE/>
        <w:autoSpaceDN/>
        <w:bidi w:val="0"/>
        <w:spacing w:line="240" w:lineRule="auto"/>
        <w:jc w:val="left"/>
        <w:rPr>
          <w:rFonts w:hint="eastAsia" w:ascii="宋体" w:hAnsi="宋体" w:eastAsia="宋体" w:cs="宋体"/>
          <w:bCs/>
          <w:sz w:val="24"/>
          <w:szCs w:val="24"/>
          <w:highlight w:val="none"/>
        </w:rPr>
      </w:pPr>
    </w:p>
    <w:p w14:paraId="6C8798A6">
      <w:pPr>
        <w:pStyle w:val="8"/>
        <w:pageBreakBefore w:val="0"/>
        <w:kinsoku/>
        <w:wordWrap/>
        <w:topLinePunct w:val="0"/>
        <w:autoSpaceDE/>
        <w:autoSpaceDN/>
        <w:bidi w:val="0"/>
        <w:spacing w:line="240" w:lineRule="auto"/>
        <w:jc w:val="left"/>
        <w:rPr>
          <w:rFonts w:hint="eastAsia" w:ascii="宋体" w:hAnsi="宋体" w:eastAsia="宋体" w:cs="宋体"/>
          <w:bCs/>
          <w:sz w:val="24"/>
          <w:szCs w:val="24"/>
          <w:highlight w:val="none"/>
        </w:rPr>
      </w:pPr>
    </w:p>
    <w:p w14:paraId="14471DF5">
      <w:pPr>
        <w:pStyle w:val="8"/>
        <w:pageBreakBefore w:val="0"/>
        <w:kinsoku/>
        <w:wordWrap/>
        <w:topLinePunct w:val="0"/>
        <w:autoSpaceDE/>
        <w:autoSpaceDN/>
        <w:bidi w:val="0"/>
        <w:spacing w:line="240" w:lineRule="auto"/>
        <w:jc w:val="left"/>
        <w:rPr>
          <w:rFonts w:hint="eastAsia" w:ascii="宋体" w:hAnsi="宋体" w:eastAsia="宋体" w:cs="宋体"/>
          <w:bCs/>
          <w:sz w:val="24"/>
          <w:szCs w:val="24"/>
          <w:highlight w:val="none"/>
        </w:rPr>
        <w:sectPr>
          <w:pgSz w:w="11906" w:h="16838"/>
          <w:pgMar w:top="1440" w:right="1800" w:bottom="1440" w:left="1800" w:header="851" w:footer="992" w:gutter="0"/>
          <w:cols w:space="425" w:num="1"/>
          <w:docGrid w:type="lines" w:linePitch="312" w:charSpace="0"/>
        </w:sectPr>
      </w:pPr>
    </w:p>
    <w:p w14:paraId="0ECF16EE">
      <w:pPr>
        <w:pStyle w:val="2"/>
        <w:pageBreakBefore w:val="0"/>
        <w:kinsoku/>
        <w:wordWrap/>
        <w:topLinePunct w:val="0"/>
        <w:autoSpaceDE/>
        <w:autoSpaceDN/>
        <w:bidi w:val="0"/>
        <w:spacing w:line="240" w:lineRule="auto"/>
        <w:rPr>
          <w:rFonts w:hint="eastAsia" w:eastAsia="宋体"/>
          <w:highlight w:val="none"/>
        </w:rPr>
      </w:pPr>
      <w:bookmarkStart w:id="18" w:name="_Toc4563"/>
      <w:bookmarkStart w:id="19" w:name="_Toc5145"/>
      <w:r>
        <w:rPr>
          <w:rFonts w:hint="eastAsia" w:eastAsia="宋体"/>
          <w:highlight w:val="none"/>
        </w:rPr>
        <w:t>C</w:t>
      </w:r>
      <w:r>
        <w:rPr>
          <w:rFonts w:hint="eastAsia"/>
          <w:highlight w:val="none"/>
          <w:lang w:val="en-US" w:eastAsia="zh-CN"/>
        </w:rPr>
        <w:t>C</w:t>
      </w:r>
      <w:r>
        <w:rPr>
          <w:rFonts w:hint="eastAsia" w:eastAsia="宋体"/>
          <w:highlight w:val="none"/>
        </w:rPr>
        <w:t>F/PEEK增材制造智能纤维路径增强与在线质量监</w:t>
      </w:r>
      <w:bookmarkStart w:id="49" w:name="_GoBack"/>
      <w:bookmarkEnd w:id="49"/>
      <w:r>
        <w:rPr>
          <w:rFonts w:hint="eastAsia" w:eastAsia="宋体"/>
          <w:highlight w:val="none"/>
        </w:rPr>
        <w:t>控技术研究</w:t>
      </w:r>
      <w:bookmarkEnd w:id="18"/>
      <w:bookmarkEnd w:id="19"/>
    </w:p>
    <w:p w14:paraId="2F80406E">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6088DAE8">
      <w:pPr>
        <w:pageBreakBefore w:val="0"/>
        <w:kinsoku/>
        <w:wordWrap/>
        <w:topLinePunct w:val="0"/>
        <w:autoSpaceDE/>
        <w:autoSpaceDN/>
        <w:bidi w:val="0"/>
        <w:spacing w:line="240" w:lineRule="auto"/>
        <w:ind w:firstLine="420"/>
        <w:rPr>
          <w:rFonts w:hint="eastAsia" w:ascii="宋体" w:hAnsi="宋体" w:eastAsia="宋体" w:cs="宋体"/>
          <w:bCs/>
          <w:sz w:val="24"/>
          <w:szCs w:val="24"/>
          <w:highlight w:val="none"/>
        </w:rPr>
      </w:pPr>
      <w:r>
        <w:rPr>
          <w:rFonts w:hint="eastAsia" w:ascii="宋体" w:hAnsi="宋体" w:eastAsia="宋体" w:cs="宋体"/>
          <w:bCs/>
          <w:color w:val="000000" w:themeColor="text1"/>
          <w:sz w:val="24"/>
          <w:szCs w:val="24"/>
          <w:highlight w:val="none"/>
          <w14:textFill>
            <w14:solidFill>
              <w14:schemeClr w14:val="tx1"/>
            </w14:solidFill>
          </w14:textFill>
        </w:rPr>
        <w:t>高强、轻质、稳定等优异物性是高端飞行器领域材料的永恒诉求。连续碳纤维（CCF）增强聚醚醚酮（PEEK）基热塑性复合材料（CCF/PEEK），因其卓越的比强度比刚度、耐高温、耐腐蚀、可焊接、可回收等性能，成为目前航空轻量化结构的材料最优解，空客、波音等公司均计划在下一代飞机中大量采用这种复合材料。相对于传统复材制造工艺主要用来制造几何相对简单的大型零件，CCF/PEEK增材制造具有可成型复杂几何零件，且不需要模具等优势，被视为新一代复材制造技术。然而CCF/PEEK的增材制造仍然面临高粘度树脂难以浸润、可打印性差、层间剪切强度低（ILSS通常低于40MPa）等急需解决的技术挑战。本项目拟通过揭示CCF/PEEK增材制造中“材料-工艺-性能”之间的内在关系机理，构建CCF/PEEK增材制造从打印工艺优化、智能纤维路径增强到基于AI的在线质量监控等智造体系，推动航空轻量化结构件的智能化制造和工程应用，助力我国航空制造业实现技术自主与产业升级。</w:t>
      </w:r>
    </w:p>
    <w:p w14:paraId="20903765">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09658D7D">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增材制造</w:t>
      </w:r>
    </w:p>
    <w:p w14:paraId="4F4D66FE">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2C4988A5">
      <w:pPr>
        <w:pageBreakBefore w:val="0"/>
        <w:numPr>
          <w:ilvl w:val="0"/>
          <w:numId w:val="0"/>
        </w:numPr>
        <w:kinsoku/>
        <w:wordWrap/>
        <w:topLinePunct w:val="0"/>
        <w:autoSpaceDE/>
        <w:autoSpaceDN/>
        <w:bidi w:val="0"/>
        <w:spacing w:line="240" w:lineRule="auto"/>
        <w:ind w:leftChars="200"/>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rPr>
        <w:t>项目目标：</w:t>
      </w:r>
    </w:p>
    <w:p w14:paraId="313469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开发连续碳纤维增强PEEK基复合材料增材制造工艺,实现优异力学性能的同时具有良好的可打印性;优化CCF/PEEK工艺参数，建立纤维路径智能化增强算法；研究基于AI的CCF/PEEK增材制造过程质量在线监控系统。</w:t>
      </w:r>
    </w:p>
    <w:p w14:paraId="0803386E">
      <w:pPr>
        <w:pageBreakBefore w:val="0"/>
        <w:numPr>
          <w:ilvl w:val="0"/>
          <w:numId w:val="0"/>
        </w:numPr>
        <w:kinsoku/>
        <w:wordWrap/>
        <w:topLinePunct w:val="0"/>
        <w:autoSpaceDE/>
        <w:autoSpaceDN/>
        <w:bidi w:val="0"/>
        <w:spacing w:line="240" w:lineRule="auto"/>
        <w:ind w:left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技术指标：</w:t>
      </w:r>
    </w:p>
    <w:p w14:paraId="4244FC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1)实现3种不同纤维路径增强算法。</w:t>
      </w:r>
    </w:p>
    <w:p w14:paraId="48BC00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2)打印件力学性能：依据ASTM相关技术标准，拉伸强度大于600MPa，层间剪切强度ILSS不低于55MPa。</w:t>
      </w:r>
    </w:p>
    <w:p w14:paraId="557715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3)基于“力流”纤维路径优化，CCF/PEEK打印构件力学性能提升20%以上；</w:t>
      </w:r>
    </w:p>
    <w:p w14:paraId="3715FB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4)实现至少5种缺陷（气孔、裂纹、扭转等）的在线质量检测。</w:t>
      </w:r>
    </w:p>
    <w:p w14:paraId="72D966C4">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03B29C90">
      <w:pPr>
        <w:numPr>
          <w:ilvl w:val="0"/>
          <w:numId w:val="37"/>
        </w:numPr>
        <w:spacing w:line="360" w:lineRule="auto"/>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基于“力流”的纤维路径优化设计</w:t>
      </w:r>
    </w:p>
    <w:p w14:paraId="63229E01">
      <w:pPr>
        <w:numPr>
          <w:ilvl w:val="0"/>
          <w:numId w:val="0"/>
        </w:numPr>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面向连续纤维增强路径规划设计算法，实现纤维排布与应力场的动态匹配，实现零件内部碳纤维的智能化增强与结构性能的最优设计。针对典型航空轻量化结构,进行路径规划与打印制造，验证算法在复杂几何与多工况下的适用性与增强效能。</w:t>
      </w:r>
    </w:p>
    <w:p w14:paraId="3EA12AB8">
      <w:pPr>
        <w:numPr>
          <w:ilvl w:val="0"/>
          <w:numId w:val="37"/>
        </w:numPr>
        <w:spacing w:line="360" w:lineRule="auto"/>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连续碳纤维增强PEEK基复合材料3D打印工艺</w:t>
      </w:r>
      <w:r>
        <w:rPr>
          <w:rFonts w:hint="eastAsia" w:ascii="宋体" w:hAnsi="宋体" w:eastAsia="宋体" w:cs="宋体"/>
          <w:b w:val="0"/>
          <w:bCs/>
          <w:sz w:val="24"/>
          <w:szCs w:val="24"/>
          <w:highlight w:val="none"/>
          <w:lang w:eastAsia="zh-CN"/>
        </w:rPr>
        <w:t>参数优化</w:t>
      </w:r>
    </w:p>
    <w:p w14:paraId="28925FDA">
      <w:pPr>
        <w:numPr>
          <w:ilvl w:val="0"/>
          <w:numId w:val="0"/>
        </w:numPr>
        <w:spacing w:line="360" w:lineRule="auto"/>
        <w:ind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连续碳纤维增强PEEK基复合材料3D打印工艺，重点解决成型过程中热变形控制与纤维取向精度难题，提升打印零件的结构稳定性与性能可靠性。基于优化后的工艺参数，设计并打印复杂结构功能件，对其可打印性与力学性能进行综合评估。</w:t>
      </w:r>
    </w:p>
    <w:p w14:paraId="2D7CAA99">
      <w:pPr>
        <w:numPr>
          <w:ilvl w:val="0"/>
          <w:numId w:val="37"/>
        </w:numPr>
        <w:spacing w:line="360" w:lineRule="auto"/>
        <w:ind w:left="0" w:firstLine="480" w:firstLineChars="20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PEEK-CCF打印过程质量在线监控技术</w:t>
      </w:r>
    </w:p>
    <w:p w14:paraId="073D3CF0">
      <w:pPr>
        <w:numPr>
          <w:ilvl w:val="0"/>
          <w:numId w:val="0"/>
        </w:num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 w:val="0"/>
          <w:bCs/>
          <w:sz w:val="24"/>
          <w:szCs w:val="24"/>
          <w:highlight w:val="none"/>
        </w:rPr>
        <w:t>连续碳纤维增</w:t>
      </w:r>
      <w:r>
        <w:rPr>
          <w:rFonts w:hint="eastAsia" w:ascii="宋体" w:hAnsi="宋体" w:eastAsia="宋体" w:cs="宋体"/>
          <w:bCs/>
          <w:sz w:val="24"/>
          <w:szCs w:val="24"/>
          <w:highlight w:val="none"/>
        </w:rPr>
        <w:t>强PEEK基复合材料增材制造缺陷分类标定、多模态融合及相关AI算法</w:t>
      </w:r>
      <w:r>
        <w:rPr>
          <w:rFonts w:hint="eastAsia" w:ascii="宋体" w:hAnsi="宋体" w:eastAsia="宋体" w:cs="宋体"/>
          <w:bCs/>
          <w:sz w:val="24"/>
          <w:szCs w:val="24"/>
          <w:highlight w:val="none"/>
          <w:lang w:eastAsia="zh-CN"/>
        </w:rPr>
        <w:t>。基于视觉的缺陷识别，建立连续碳纤维复合材料</w:t>
      </w:r>
      <w:r>
        <w:rPr>
          <w:rFonts w:hint="eastAsia" w:ascii="宋体" w:hAnsi="宋体" w:eastAsia="宋体" w:cs="宋体"/>
          <w:bCs/>
          <w:sz w:val="24"/>
          <w:szCs w:val="24"/>
          <w:highlight w:val="none"/>
          <w:lang w:val="en-US" w:eastAsia="zh-CN"/>
        </w:rPr>
        <w:t>3D打印缺陷数据库，通过人工智能算法进行训练，建立缺陷类型和参数优化办法映射关系，对工艺参数进行反馈调节。</w:t>
      </w:r>
    </w:p>
    <w:p w14:paraId="1C34E0B2">
      <w:pPr>
        <w:keepNext w:val="0"/>
        <w:keepLines w:val="0"/>
        <w:pageBreakBefore w:val="0"/>
        <w:widowControl w:val="0"/>
        <w:kinsoku/>
        <w:wordWrap/>
        <w:overflowPunct/>
        <w:topLinePunct w:val="0"/>
        <w:autoSpaceDE/>
        <w:autoSpaceDN/>
        <w:bidi w:val="0"/>
        <w:adjustRightInd/>
        <w:spacing w:line="240" w:lineRule="auto"/>
        <w:ind w:left="482"/>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p w14:paraId="41DB7BBD">
      <w:pPr>
        <w:keepNext w:val="0"/>
        <w:keepLines w:val="0"/>
        <w:pageBreakBefore w:val="0"/>
        <w:widowControl w:val="0"/>
        <w:numPr>
          <w:ilvl w:val="0"/>
          <w:numId w:val="38"/>
        </w:numPr>
        <w:kinsoku/>
        <w:wordWrap/>
        <w:overflowPunct/>
        <w:topLinePunct w:val="0"/>
        <w:autoSpaceDE/>
        <w:autoSpaceDN/>
        <w:bidi w:val="0"/>
        <w:adjustRightInd/>
        <w:snapToGrid w:val="0"/>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热性能表征：采用差示扫描量热分析与热重分析测定材料的玻璃转变温度、热分解温度，评估材料的热稳定性和耐温性能</w:t>
      </w:r>
      <w:r>
        <w:rPr>
          <w:rFonts w:hint="eastAsia" w:ascii="宋体" w:hAnsi="宋体" w:eastAsia="宋体" w:cs="宋体"/>
          <w:bCs/>
          <w:sz w:val="24"/>
          <w:szCs w:val="24"/>
          <w:highlight w:val="none"/>
          <w:lang w:val="en-US" w:eastAsia="zh-CN"/>
        </w:rPr>
        <w:t>；</w:t>
      </w:r>
    </w:p>
    <w:p w14:paraId="7444E3CF">
      <w:pPr>
        <w:keepNext w:val="0"/>
        <w:keepLines w:val="0"/>
        <w:pageBreakBefore w:val="0"/>
        <w:widowControl w:val="0"/>
        <w:numPr>
          <w:ilvl w:val="0"/>
          <w:numId w:val="38"/>
        </w:numPr>
        <w:kinsoku/>
        <w:wordWrap/>
        <w:overflowPunct/>
        <w:topLinePunct w:val="0"/>
        <w:autoSpaceDE/>
        <w:autoSpaceDN/>
        <w:bidi w:val="0"/>
        <w:adjustRightInd/>
        <w:snapToGrid w:val="0"/>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打印工艺可靠性综合验证：通过增材制造测试构建（如悬臂梁、阶梯件）评估预浸丝材与打印系统的适配性，包括成型精度、翘曲变形量，层间粘接强度</w:t>
      </w:r>
      <w:r>
        <w:rPr>
          <w:rFonts w:hint="eastAsia" w:ascii="宋体" w:hAnsi="宋体" w:eastAsia="宋体" w:cs="宋体"/>
          <w:bCs/>
          <w:sz w:val="24"/>
          <w:szCs w:val="24"/>
          <w:highlight w:val="none"/>
          <w:lang w:eastAsia="zh-CN"/>
        </w:rPr>
        <w:t>；</w:t>
      </w:r>
    </w:p>
    <w:p w14:paraId="558A05E4">
      <w:pPr>
        <w:keepNext w:val="0"/>
        <w:keepLines w:val="0"/>
        <w:pageBreakBefore w:val="0"/>
        <w:widowControl w:val="0"/>
        <w:numPr>
          <w:ilvl w:val="0"/>
          <w:numId w:val="38"/>
        </w:numPr>
        <w:kinsoku/>
        <w:wordWrap/>
        <w:overflowPunct/>
        <w:topLinePunct w:val="0"/>
        <w:autoSpaceDE/>
        <w:autoSpaceDN/>
        <w:bidi w:val="0"/>
        <w:adjustRightInd/>
        <w:snapToGrid w:val="0"/>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在线监控验证：实际增材制造过程中在线监控数据与实际打印缺陷进行科学表征后进行比对</w:t>
      </w:r>
      <w:r>
        <w:rPr>
          <w:rFonts w:hint="eastAsia" w:ascii="宋体" w:hAnsi="宋体" w:eastAsia="宋体" w:cs="宋体"/>
          <w:bCs/>
          <w:sz w:val="24"/>
          <w:szCs w:val="24"/>
          <w:highlight w:val="none"/>
          <w:lang w:eastAsia="zh-CN"/>
        </w:rPr>
        <w:t>；</w:t>
      </w:r>
    </w:p>
    <w:p w14:paraId="1DF6D11D">
      <w:pPr>
        <w:keepNext w:val="0"/>
        <w:keepLines w:val="0"/>
        <w:pageBreakBefore w:val="0"/>
        <w:widowControl w:val="0"/>
        <w:numPr>
          <w:ilvl w:val="0"/>
          <w:numId w:val="38"/>
        </w:numPr>
        <w:kinsoku/>
        <w:wordWrap/>
        <w:overflowPunct/>
        <w:topLinePunct w:val="0"/>
        <w:autoSpaceDE/>
        <w:autoSpaceDN/>
        <w:bidi w:val="0"/>
        <w:adjustRightInd/>
        <w:snapToGrid w:val="0"/>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力学性能验证：采用万能材料试验</w:t>
      </w:r>
      <w:r>
        <w:rPr>
          <w:rFonts w:hint="eastAsia" w:ascii="宋体" w:hAnsi="宋体" w:eastAsia="宋体" w:cs="宋体"/>
          <w:bCs/>
          <w:sz w:val="24"/>
          <w:szCs w:val="24"/>
          <w:highlight w:val="none"/>
          <w:lang w:eastAsia="zh-CN"/>
        </w:rPr>
        <w:t>台</w:t>
      </w:r>
      <w:r>
        <w:rPr>
          <w:rFonts w:hint="eastAsia" w:ascii="宋体" w:hAnsi="宋体" w:eastAsia="宋体" w:cs="宋体"/>
          <w:bCs/>
          <w:sz w:val="24"/>
          <w:szCs w:val="24"/>
          <w:highlight w:val="none"/>
        </w:rPr>
        <w:t>测试样件的拉伸强度，验证纤维增强效果及界面在各传递效率</w:t>
      </w:r>
      <w:r>
        <w:rPr>
          <w:rFonts w:hint="eastAsia" w:ascii="宋体" w:hAnsi="宋体" w:eastAsia="宋体" w:cs="宋体"/>
          <w:bCs/>
          <w:sz w:val="24"/>
          <w:szCs w:val="24"/>
          <w:highlight w:val="none"/>
          <w:lang w:eastAsia="zh-CN"/>
        </w:rPr>
        <w:t>；</w:t>
      </w:r>
    </w:p>
    <w:p w14:paraId="1BF1BA49">
      <w:pPr>
        <w:keepNext w:val="0"/>
        <w:keepLines w:val="0"/>
        <w:pageBreakBefore w:val="0"/>
        <w:widowControl w:val="0"/>
        <w:numPr>
          <w:ilvl w:val="0"/>
          <w:numId w:val="38"/>
        </w:numPr>
        <w:kinsoku/>
        <w:wordWrap/>
        <w:overflowPunct/>
        <w:topLinePunct w:val="0"/>
        <w:autoSpaceDE/>
        <w:autoSpaceDN/>
        <w:bidi w:val="0"/>
        <w:adjustRightInd/>
        <w:snapToGrid w:val="0"/>
        <w:spacing w:line="240" w:lineRule="auto"/>
        <w:ind w:left="0" w:leftChars="0"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微观结构分析：利用扫描电子显微镜对零件断口形貌进行观测，重点分析纤维/基体的界面结合状态、断裂模式、缺陷分布以及微观相的均匀性</w:t>
      </w:r>
      <w:r>
        <w:rPr>
          <w:rFonts w:hint="eastAsia" w:ascii="宋体" w:hAnsi="宋体" w:eastAsia="宋体" w:cs="宋体"/>
          <w:bCs/>
          <w:sz w:val="24"/>
          <w:szCs w:val="24"/>
          <w:highlight w:val="none"/>
          <w:lang w:eastAsia="zh-CN"/>
        </w:rPr>
        <w:t>。</w:t>
      </w:r>
    </w:p>
    <w:p w14:paraId="103441CC">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6506A279">
      <w:pPr>
        <w:pageBreakBefore w:val="0"/>
        <w:widowControl/>
        <w:numPr>
          <w:ilvl w:val="0"/>
          <w:numId w:val="0"/>
        </w:numPr>
        <w:kinsoku/>
        <w:wordWrap/>
        <w:topLinePunct w:val="0"/>
        <w:autoSpaceDE/>
        <w:autoSpaceDN/>
        <w:bidi w:val="0"/>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1)提供至少2组优化工艺参数集。</w:t>
      </w:r>
    </w:p>
    <w:p w14:paraId="42A9D058">
      <w:pPr>
        <w:pageBreakBefore w:val="0"/>
        <w:widowControl/>
        <w:numPr>
          <w:ilvl w:val="0"/>
          <w:numId w:val="0"/>
        </w:numPr>
        <w:kinsoku/>
        <w:wordWrap/>
        <w:topLinePunct w:val="0"/>
        <w:autoSpaceDE/>
        <w:autoSpaceDN/>
        <w:bidi w:val="0"/>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2)连续碳纤维增强PEEK基复合材料3D打印工艺研发报告1份；</w:t>
      </w:r>
    </w:p>
    <w:p w14:paraId="0DFB0432">
      <w:pPr>
        <w:pageBreakBefore w:val="0"/>
        <w:widowControl/>
        <w:numPr>
          <w:ilvl w:val="0"/>
          <w:numId w:val="0"/>
        </w:numPr>
        <w:kinsoku/>
        <w:wordWrap/>
        <w:topLinePunct w:val="0"/>
        <w:autoSpaceDE/>
        <w:autoSpaceDN/>
        <w:bidi w:val="0"/>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3)面向连续纤维增强路径规划设计算法/软件1套；</w:t>
      </w:r>
    </w:p>
    <w:p w14:paraId="6701786C">
      <w:pPr>
        <w:pageBreakBefore w:val="0"/>
        <w:widowControl/>
        <w:numPr>
          <w:ilvl w:val="0"/>
          <w:numId w:val="0"/>
        </w:numPr>
        <w:kinsoku/>
        <w:wordWrap/>
        <w:topLinePunct w:val="0"/>
        <w:autoSpaceDE/>
        <w:autoSpaceDN/>
        <w:bidi w:val="0"/>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4)基于AI的CCF/PEEK增材制造过程质量在线监控系统1套；</w:t>
      </w:r>
    </w:p>
    <w:p w14:paraId="6CB1801D">
      <w:pPr>
        <w:pageBreakBefore w:val="0"/>
        <w:widowControl/>
        <w:numPr>
          <w:ilvl w:val="0"/>
          <w:numId w:val="0"/>
        </w:numPr>
        <w:kinsoku/>
        <w:wordWrap/>
        <w:topLinePunct w:val="0"/>
        <w:autoSpaceDE/>
        <w:autoSpaceDN/>
        <w:bidi w:val="0"/>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5)打印典型构件不少于5件；</w:t>
      </w:r>
    </w:p>
    <w:p w14:paraId="003A7818">
      <w:pPr>
        <w:pageBreakBefore w:val="0"/>
        <w:widowControl/>
        <w:numPr>
          <w:ilvl w:val="0"/>
          <w:numId w:val="0"/>
        </w:numPr>
        <w:kinsoku/>
        <w:wordWrap/>
        <w:topLinePunct w:val="0"/>
        <w:autoSpaceDE/>
        <w:autoSpaceDN/>
        <w:bidi w:val="0"/>
        <w:spacing w:line="24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6)发表学术论文2篇，申请发明专利1项。</w:t>
      </w:r>
    </w:p>
    <w:p w14:paraId="280F19BE">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4E1CA504">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24个月。</w:t>
      </w:r>
    </w:p>
    <w:p w14:paraId="1450E0CA">
      <w:pPr>
        <w:pageBreakBefore w:val="0"/>
        <w:numPr>
          <w:ilvl w:val="0"/>
          <w:numId w:val="36"/>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31266404">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50万元。</w:t>
      </w:r>
    </w:p>
    <w:p w14:paraId="6FE04AD2">
      <w:pPr>
        <w:pStyle w:val="8"/>
        <w:pageBreakBefore w:val="0"/>
        <w:kinsoku/>
        <w:wordWrap/>
        <w:topLinePunct w:val="0"/>
        <w:autoSpaceDE/>
        <w:autoSpaceDN/>
        <w:bidi w:val="0"/>
        <w:spacing w:line="240" w:lineRule="auto"/>
        <w:jc w:val="left"/>
        <w:rPr>
          <w:rFonts w:hint="eastAsia" w:ascii="宋体" w:hAnsi="宋体" w:eastAsia="宋体"/>
          <w:b w:val="0"/>
          <w:bCs/>
          <w:sz w:val="24"/>
          <w:highlight w:val="none"/>
        </w:rPr>
      </w:pPr>
    </w:p>
    <w:p w14:paraId="49E711D7">
      <w:pPr>
        <w:pStyle w:val="8"/>
        <w:pageBreakBefore w:val="0"/>
        <w:kinsoku/>
        <w:wordWrap/>
        <w:topLinePunct w:val="0"/>
        <w:autoSpaceDE/>
        <w:autoSpaceDN/>
        <w:bidi w:val="0"/>
        <w:spacing w:line="240" w:lineRule="auto"/>
        <w:jc w:val="left"/>
        <w:rPr>
          <w:rFonts w:hint="eastAsia" w:ascii="宋体" w:hAnsi="宋体" w:eastAsia="宋体"/>
          <w:b w:val="0"/>
          <w:bCs/>
          <w:sz w:val="24"/>
          <w:highlight w:val="none"/>
        </w:rPr>
        <w:sectPr>
          <w:pgSz w:w="11906" w:h="16838"/>
          <w:pgMar w:top="1440" w:right="1800" w:bottom="1440" w:left="1800" w:header="851" w:footer="992" w:gutter="0"/>
          <w:cols w:space="425" w:num="1"/>
          <w:docGrid w:type="lines" w:linePitch="312" w:charSpace="0"/>
        </w:sectPr>
      </w:pPr>
    </w:p>
    <w:p w14:paraId="522883D9">
      <w:pPr>
        <w:pStyle w:val="2"/>
        <w:pageBreakBefore w:val="0"/>
        <w:kinsoku/>
        <w:wordWrap/>
        <w:topLinePunct w:val="0"/>
        <w:autoSpaceDE/>
        <w:autoSpaceDN/>
        <w:bidi w:val="0"/>
        <w:spacing w:line="240" w:lineRule="auto"/>
        <w:rPr>
          <w:rFonts w:hint="eastAsia" w:eastAsia="宋体"/>
          <w:highlight w:val="none"/>
          <w:lang w:val="en-US" w:eastAsia="zh-CN"/>
        </w:rPr>
      </w:pPr>
      <w:bookmarkStart w:id="20" w:name="_Toc19729"/>
      <w:bookmarkStart w:id="21" w:name="_Toc9012"/>
      <w:r>
        <w:rPr>
          <w:rFonts w:hint="eastAsia" w:eastAsia="宋体"/>
          <w:highlight w:val="none"/>
          <w:lang w:val="en-US" w:eastAsia="zh-CN"/>
        </w:rPr>
        <w:t>纤维增强热塑性材料可重构嵌入式增材制造高性能成形机理与工艺研究</w:t>
      </w:r>
      <w:bookmarkEnd w:id="20"/>
      <w:bookmarkEnd w:id="21"/>
    </w:p>
    <w:p w14:paraId="61DC2CE9">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项目背景</w:t>
      </w:r>
    </w:p>
    <w:p w14:paraId="35248429">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纤维增强热塑性材料</w:t>
      </w:r>
      <w:r>
        <w:rPr>
          <w:rFonts w:hint="eastAsia" w:ascii="宋体" w:hAnsi="宋体" w:eastAsia="宋体" w:cs="宋体"/>
          <w:sz w:val="24"/>
          <w:szCs w:val="24"/>
          <w:highlight w:val="none"/>
        </w:rPr>
        <w:t xml:space="preserve">蒙皮-点阵晶格夹芯结构作为先进的结构-功能一体化材料结构体系，在新一代航空飞行器关重件中具有巨大的应用潜力，国外航空飞行器制造单位已在舱门、进气道等零部件上取得初步应用。可重构嵌入式增材制造工艺可根据零部件结构特征柔性适配不同制造成形单元（熔融颗粒料挤出、纤维铺放、纤维打印、电主轴修整），是实现上述结构高性能一体化制造成形的有效解决方案。然而，该工艺涉及多项工艺方法耦合，尚缺乏系统性研究，存在蒙皮-夹芯多尺度结构成形机理不明、性能调控与工艺优化手段缺乏以及质量评价方法不足等问题，亟需开展相关研究，为新一代民用航空装备关重件的一体化制造成形提供高性能解决方案。 </w:t>
      </w:r>
    </w:p>
    <w:p w14:paraId="1C84C944">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项目归属的重点专业领域</w:t>
      </w:r>
    </w:p>
    <w:p w14:paraId="546A38F2">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增材制造</w:t>
      </w:r>
    </w:p>
    <w:p w14:paraId="16DB632E">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项目目标及技术指标</w:t>
      </w:r>
    </w:p>
    <w:p w14:paraId="2B2B5B23">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项目目标： </w:t>
      </w:r>
    </w:p>
    <w:p w14:paraId="7C3252B6">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针对纤维增强热塑性材料蒙皮-点阵晶格夹芯结构，采用可重构嵌入式增材制造工艺实现其一体化高性能制造成形，揭示多尺度结构间界面成形机理，通过对比不同热调控方式实现性能调控方法优选，进一步地结合智能算法与机器学习模型实现工艺参数优化，并从结构、工艺、材料多维度对力学性能、轻量化特性等进行量化对比，验证可重构嵌入式增材制造成形工艺方法的优异性。</w:t>
      </w:r>
    </w:p>
    <w:p w14:paraId="34EFE7F6">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7F8ACC43">
      <w:pPr>
        <w:pStyle w:val="6"/>
        <w:pageBreakBefore w:val="0"/>
        <w:numPr>
          <w:ilvl w:val="0"/>
          <w:numId w:val="40"/>
        </w:numPr>
        <w:kinsoku/>
        <w:wordWrap/>
        <w:topLinePunct w:val="0"/>
        <w:autoSpaceDE/>
        <w:autoSpaceDN/>
        <w:bidi w:val="0"/>
        <w:spacing w:line="240" w:lineRule="auto"/>
        <w:ind w:left="0" w:leftChars="0" w:firstLine="0" w:firstLineChars="0"/>
        <w:rPr>
          <w:rFonts w:hint="eastAsia"/>
          <w:highlight w:val="none"/>
          <w:lang w:eastAsia="zh-CN"/>
        </w:rPr>
      </w:pPr>
      <w:r>
        <w:rPr>
          <w:rFonts w:hint="eastAsia"/>
          <w:highlight w:val="none"/>
          <w:lang w:eastAsia="zh-CN"/>
        </w:rPr>
        <w:t>可制造成形幅面尺寸≥500mmx500mm；</w:t>
      </w:r>
    </w:p>
    <w:p w14:paraId="67E5F3B6">
      <w:pPr>
        <w:pStyle w:val="6"/>
        <w:pageBreakBefore w:val="0"/>
        <w:numPr>
          <w:ilvl w:val="0"/>
          <w:numId w:val="40"/>
        </w:numPr>
        <w:kinsoku/>
        <w:wordWrap/>
        <w:topLinePunct w:val="0"/>
        <w:autoSpaceDE/>
        <w:autoSpaceDN/>
        <w:bidi w:val="0"/>
        <w:spacing w:line="240" w:lineRule="auto"/>
        <w:ind w:left="0" w:leftChars="0" w:firstLine="0" w:firstLineChars="0"/>
        <w:rPr>
          <w:rFonts w:hint="eastAsia"/>
          <w:highlight w:val="none"/>
          <w:lang w:eastAsia="zh-CN"/>
        </w:rPr>
      </w:pPr>
      <w:r>
        <w:rPr>
          <w:rFonts w:hint="eastAsia"/>
          <w:highlight w:val="none"/>
          <w:lang w:eastAsia="zh-CN"/>
        </w:rPr>
        <w:t xml:space="preserve">碳纤维蒙皮-碳纤维蜂窝夹芯结构界面剪切强度≥40MPa； </w:t>
      </w:r>
    </w:p>
    <w:p w14:paraId="4259C5FE">
      <w:pPr>
        <w:pStyle w:val="6"/>
        <w:pageBreakBefore w:val="0"/>
        <w:numPr>
          <w:ilvl w:val="0"/>
          <w:numId w:val="40"/>
        </w:numPr>
        <w:kinsoku/>
        <w:wordWrap/>
        <w:topLinePunct w:val="0"/>
        <w:autoSpaceDE/>
        <w:autoSpaceDN/>
        <w:bidi w:val="0"/>
        <w:spacing w:line="240" w:lineRule="auto"/>
        <w:ind w:left="0" w:leftChars="0" w:firstLine="0" w:firstLineChars="0"/>
        <w:rPr>
          <w:rFonts w:hint="eastAsia"/>
          <w:highlight w:val="none"/>
          <w:lang w:eastAsia="zh-CN"/>
        </w:rPr>
      </w:pPr>
      <w:r>
        <w:rPr>
          <w:rFonts w:hint="eastAsia"/>
          <w:highlight w:val="none"/>
          <w:lang w:eastAsia="zh-CN"/>
        </w:rPr>
        <w:t xml:space="preserve">相比当前碳纤维蒙皮-芳纶纸蜂窝夹芯结构，抗压/抗弯强度和比刚度性能指标提升20%以上; </w:t>
      </w:r>
    </w:p>
    <w:p w14:paraId="551168CD">
      <w:pPr>
        <w:pStyle w:val="6"/>
        <w:pageBreakBefore w:val="0"/>
        <w:numPr>
          <w:ilvl w:val="0"/>
          <w:numId w:val="40"/>
        </w:numPr>
        <w:kinsoku/>
        <w:wordWrap/>
        <w:topLinePunct w:val="0"/>
        <w:autoSpaceDE/>
        <w:autoSpaceDN/>
        <w:bidi w:val="0"/>
        <w:spacing w:line="240" w:lineRule="auto"/>
        <w:ind w:left="0" w:leftChars="0" w:firstLine="0" w:firstLineChars="0"/>
        <w:rPr>
          <w:rFonts w:hint="eastAsia"/>
          <w:highlight w:val="none"/>
          <w:lang w:eastAsia="zh-CN"/>
        </w:rPr>
      </w:pPr>
      <w:r>
        <w:rPr>
          <w:rFonts w:hint="eastAsia"/>
          <w:highlight w:val="none"/>
          <w:lang w:eastAsia="zh-CN"/>
        </w:rPr>
        <w:t xml:space="preserve">实现不少于3 种不同类型蒙皮-夹芯结构的一体化制造成形； </w:t>
      </w:r>
    </w:p>
    <w:p w14:paraId="0F5C7365">
      <w:pPr>
        <w:pStyle w:val="6"/>
        <w:pageBreakBefore w:val="0"/>
        <w:kinsoku/>
        <w:wordWrap/>
        <w:topLinePunct w:val="0"/>
        <w:autoSpaceDE/>
        <w:autoSpaceDN/>
        <w:bidi w:val="0"/>
        <w:spacing w:line="240" w:lineRule="auto"/>
        <w:ind w:left="0" w:leftChars="0" w:firstLine="0" w:firstLineChars="0"/>
        <w:rPr>
          <w:rFonts w:hint="eastAsia"/>
          <w:highlight w:val="none"/>
          <w:lang w:eastAsia="zh-CN"/>
        </w:rPr>
      </w:pPr>
      <w:r>
        <w:rPr>
          <w:rFonts w:hint="eastAsia"/>
          <w:highlight w:val="none"/>
          <w:lang w:val="en-US" w:eastAsia="zh-CN"/>
        </w:rPr>
        <w:t>5）</w:t>
      </w:r>
      <w:r>
        <w:rPr>
          <w:rFonts w:hint="eastAsia"/>
          <w:highlight w:val="none"/>
          <w:lang w:eastAsia="zh-CN"/>
        </w:rPr>
        <w:t>工艺技术成熟度提升至TRL4 级。</w:t>
      </w:r>
    </w:p>
    <w:p w14:paraId="0A73E59D">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主要研究内容</w:t>
      </w:r>
    </w:p>
    <w:p w14:paraId="5E4F3EC8">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拟解决的关键技术</w:t>
      </w:r>
    </w:p>
    <w:p w14:paraId="1563A269">
      <w:pPr>
        <w:pageBreakBefore w:val="0"/>
        <w:numPr>
          <w:ilvl w:val="0"/>
          <w:numId w:val="4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蒙皮-夹芯多尺度结构可重构嵌入式增材制造成形机理与性能调控方法。 </w:t>
      </w:r>
    </w:p>
    <w:p w14:paraId="1D5C3227">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针对可重构嵌入式增材制造成形工艺，揭示一体化制造成形的蒙皮-夹芯结构间连接界面成形过程热历史与力学性能内在机理联系，分析比较不同热调控方法对界面成形热历史和连接强度的影响规律，实现结构间界面结合性能调控方法优选。 </w:t>
      </w:r>
    </w:p>
    <w:p w14:paraId="531079EE">
      <w:pPr>
        <w:pageBreakBefore w:val="0"/>
        <w:numPr>
          <w:ilvl w:val="0"/>
          <w:numId w:val="4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基于智能算法的蒙皮-夹芯多尺度结构可重构嵌入式一体化增材制造成形工艺参数优化。 </w:t>
      </w:r>
    </w:p>
    <w:p w14:paraId="509C7B4E">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对优选的结构间界面性能调控方法开展工艺参数影响实验研究，构建工艺参数数据库，建立工艺参数-目标性能快速预测模型，结合智能算法实现蒙皮- 夹芯结构可重构嵌入式增材制造工艺参数的闭环迭代优化。 </w:t>
      </w:r>
    </w:p>
    <w:p w14:paraId="5597F33D">
      <w:pPr>
        <w:pageBreakBefore w:val="0"/>
        <w:numPr>
          <w:ilvl w:val="0"/>
          <w:numId w:val="4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蒙皮-夹芯多尺度结构可重构嵌入式一体化增材制造成形质量对比评价。 </w:t>
      </w:r>
    </w:p>
    <w:p w14:paraId="6E0ACE1B">
      <w:pPr>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基于可重构嵌入式增材制造工艺实现不同蒙皮-夹芯结构一体化成形，与胶接等常规成形工艺，以及铝等常规夹芯材料从力学性能、轻量化特性等多尺度进行对比，验证可重构嵌入式一体化增材制造成形方法的优异性。 </w:t>
      </w:r>
    </w:p>
    <w:p w14:paraId="22BD57FB">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研究结果的验证方式</w:t>
      </w:r>
    </w:p>
    <w:p w14:paraId="1C6098D0">
      <w:pPr>
        <w:pageBreakBefore w:val="0"/>
        <w:numPr>
          <w:ilvl w:val="0"/>
          <w:numId w:val="4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提供研究过程产生的原始数据； </w:t>
      </w:r>
    </w:p>
    <w:p w14:paraId="1D5E5AC2">
      <w:pPr>
        <w:pageBreakBefore w:val="0"/>
        <w:numPr>
          <w:ilvl w:val="0"/>
          <w:numId w:val="42"/>
        </w:numPr>
        <w:kinsoku/>
        <w:wordWrap/>
        <w:topLinePunct w:val="0"/>
        <w:autoSpaceDE/>
        <w:autoSpaceDN/>
        <w:bidi w:val="0"/>
        <w:spacing w:line="240" w:lineRule="auto"/>
        <w:ind w:left="0" w:firstLine="480" w:firstLineChars="200"/>
        <w:rPr>
          <w:rFonts w:hint="eastAsia" w:ascii="仿宋" w:hAnsi="仿宋" w:eastAsia="仿宋"/>
          <w:color w:val="000000"/>
          <w:sz w:val="23"/>
          <w:highlight w:val="none"/>
          <w:lang w:eastAsia="zh-CN"/>
        </w:rPr>
      </w:pPr>
      <w:r>
        <w:rPr>
          <w:rFonts w:hint="eastAsia" w:ascii="宋体" w:hAnsi="宋体" w:eastAsia="宋体" w:cs="宋体"/>
          <w:sz w:val="24"/>
          <w:szCs w:val="24"/>
          <w:highlight w:val="none"/>
        </w:rPr>
        <w:t xml:space="preserve">蒙皮-夹芯结构性能测试提供第三方测试报告。 </w:t>
      </w:r>
    </w:p>
    <w:p w14:paraId="093FC8F5">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olor w:val="000000"/>
          <w:sz w:val="23"/>
          <w:highlight w:val="none"/>
          <w:lang w:eastAsia="zh-CN"/>
        </w:rPr>
      </w:pPr>
    </w:p>
    <w:p w14:paraId="425EB790">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预期成果</w:t>
      </w:r>
    </w:p>
    <w:p w14:paraId="12A365C3">
      <w:pPr>
        <w:pageBreakBefore w:val="0"/>
        <w:numPr>
          <w:ilvl w:val="0"/>
          <w:numId w:val="4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蒙皮-夹芯结构可重构嵌入式增材制造成形工艺指南1 份； </w:t>
      </w:r>
    </w:p>
    <w:p w14:paraId="244405E0">
      <w:pPr>
        <w:pageBreakBefore w:val="0"/>
        <w:numPr>
          <w:ilvl w:val="0"/>
          <w:numId w:val="4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蒙皮-夹芯结构可重构嵌入式增材制造成形典型件</w:t>
      </w: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 xml:space="preserve">件； </w:t>
      </w:r>
    </w:p>
    <w:p w14:paraId="26DC2F84">
      <w:pPr>
        <w:pageBreakBefore w:val="0"/>
        <w:numPr>
          <w:ilvl w:val="0"/>
          <w:numId w:val="4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蒙皮-夹芯结构可重构嵌入式增材制造技术研究报告</w:t>
      </w:r>
      <w:r>
        <w:rPr>
          <w:rFonts w:hint="eastAsia" w:ascii="宋体" w:hAnsi="宋体" w:eastAsia="宋体" w:cs="宋体"/>
          <w:sz w:val="24"/>
          <w:szCs w:val="24"/>
          <w:highlight w:val="none"/>
          <w:lang w:eastAsia="zh-CN"/>
        </w:rPr>
        <w:t>不少于</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 xml:space="preserve">篇； </w:t>
      </w:r>
    </w:p>
    <w:p w14:paraId="46F747B9">
      <w:pPr>
        <w:pageBreakBefore w:val="0"/>
        <w:numPr>
          <w:ilvl w:val="0"/>
          <w:numId w:val="4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发表论文不少于2 篇；</w:t>
      </w:r>
    </w:p>
    <w:p w14:paraId="36D0C035">
      <w:pPr>
        <w:pageBreakBefore w:val="0"/>
        <w:numPr>
          <w:ilvl w:val="0"/>
          <w:numId w:val="4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发明专利1 </w:t>
      </w:r>
      <w:r>
        <w:rPr>
          <w:rFonts w:hint="eastAsia" w:ascii="宋体" w:hAnsi="宋体" w:eastAsia="宋体" w:cs="宋体"/>
          <w:sz w:val="24"/>
          <w:szCs w:val="24"/>
          <w:highlight w:val="none"/>
          <w:lang w:eastAsia="zh-CN"/>
        </w:rPr>
        <w:t>篇</w:t>
      </w:r>
      <w:r>
        <w:rPr>
          <w:rFonts w:hint="eastAsia" w:ascii="宋体" w:hAnsi="宋体" w:eastAsia="宋体" w:cs="宋体"/>
          <w:sz w:val="24"/>
          <w:szCs w:val="24"/>
          <w:highlight w:val="none"/>
        </w:rPr>
        <w:t xml:space="preserve">。 </w:t>
      </w:r>
    </w:p>
    <w:p w14:paraId="79EEE0F7">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建议研究周期和启动时间</w:t>
      </w:r>
    </w:p>
    <w:p w14:paraId="69C5D234">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24个月。</w:t>
      </w:r>
    </w:p>
    <w:p w14:paraId="220CAC45">
      <w:pPr>
        <w:keepNext w:val="0"/>
        <w:keepLines w:val="0"/>
        <w:pageBreakBefore w:val="0"/>
        <w:widowControl w:val="0"/>
        <w:numPr>
          <w:ilvl w:val="0"/>
          <w:numId w:val="39"/>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所需研究经费</w:t>
      </w:r>
    </w:p>
    <w:p w14:paraId="14E05CB7">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万元。</w:t>
      </w:r>
    </w:p>
    <w:p w14:paraId="546BD5BA">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pPr>
    </w:p>
    <w:p w14:paraId="6E1E4EF8">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pPr>
    </w:p>
    <w:p w14:paraId="4E207F55">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pPr>
    </w:p>
    <w:p w14:paraId="5E7FC0DB">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p>
    <w:p w14:paraId="53B6AC63">
      <w:pPr>
        <w:pStyle w:val="2"/>
        <w:pageBreakBefore w:val="0"/>
        <w:kinsoku/>
        <w:wordWrap/>
        <w:topLinePunct w:val="0"/>
        <w:autoSpaceDE/>
        <w:autoSpaceDN/>
        <w:bidi w:val="0"/>
        <w:spacing w:line="240" w:lineRule="auto"/>
        <w:rPr>
          <w:rFonts w:hint="eastAsia" w:eastAsia="宋体"/>
          <w:highlight w:val="none"/>
        </w:rPr>
      </w:pPr>
      <w:bookmarkStart w:id="22" w:name="_Toc7783"/>
      <w:bookmarkStart w:id="23" w:name="_Toc25162"/>
      <w:r>
        <w:rPr>
          <w:rFonts w:hint="eastAsia" w:eastAsia="宋体"/>
          <w:highlight w:val="none"/>
        </w:rPr>
        <w:t>残余应力场下SLMed Ti6Al4V结构多缺陷协同损伤机理与三维疲劳寿命预测方法研究</w:t>
      </w:r>
      <w:bookmarkEnd w:id="22"/>
      <w:bookmarkEnd w:id="23"/>
    </w:p>
    <w:p w14:paraId="4A99A5CF">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025727B9">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2"/>
          <w:highlight w:val="none"/>
        </w:rPr>
      </w:pPr>
      <w:r>
        <w:rPr>
          <w:rFonts w:hint="eastAsia" w:ascii="宋体" w:hAnsi="宋体" w:eastAsia="宋体" w:cs="宋体"/>
          <w:bCs/>
          <w:sz w:val="24"/>
          <w:szCs w:val="22"/>
          <w:highlight w:val="none"/>
        </w:rPr>
        <w:t>增材制造技术为复杂结构制造提供了高自由度的解决方案，但其独特的制造缺陷、残余应力及材料组织形态，显著影响航空构件的寿命，并导致疲劳性能分散性大，给损伤容限与疲劳耐久性的科学评估带来严峻挑战。传统基于二维疲劳断裂理论的分析方法，无法较合理地描述残余应力对三维单/多缺陷疲劳寿命演化的协同演化作用，难以更准确地预测增材制造钛合金结构的损伤容限与疲劳耐久性能。本项目拟以</w:t>
      </w:r>
      <w:bookmarkStart w:id="24" w:name="_Hlk217312059"/>
      <w:r>
        <w:rPr>
          <w:rFonts w:ascii="宋体" w:hAnsi="宋体" w:eastAsia="宋体" w:cs="宋体"/>
          <w:bCs/>
          <w:sz w:val="24"/>
          <w:szCs w:val="22"/>
          <w:highlight w:val="none"/>
        </w:rPr>
        <w:t>SLMed Ti6Al4V</w:t>
      </w:r>
      <w:bookmarkEnd w:id="24"/>
      <w:r>
        <w:rPr>
          <w:rFonts w:hint="eastAsia" w:ascii="宋体" w:hAnsi="宋体" w:eastAsia="宋体" w:cs="宋体"/>
          <w:bCs/>
          <w:sz w:val="24"/>
          <w:szCs w:val="22"/>
          <w:highlight w:val="none"/>
        </w:rPr>
        <w:t>为研究对象，通过多尺度试验，系统揭示不同残余应力水平下单/多缺陷损伤演化协同与竞争机制，并结合三维疲劳断裂理论，建立纳入残余应力效应与多缺陷协同演化的寿命计算方法，实现</w:t>
      </w:r>
      <w:r>
        <w:rPr>
          <w:rFonts w:ascii="宋体" w:hAnsi="宋体" w:eastAsia="宋体" w:cs="宋体"/>
          <w:bCs/>
          <w:sz w:val="24"/>
          <w:szCs w:val="22"/>
          <w:highlight w:val="none"/>
        </w:rPr>
        <w:t>SLMed Ti6Al4V</w:t>
      </w:r>
      <w:r>
        <w:rPr>
          <w:rFonts w:hint="eastAsia" w:ascii="宋体" w:hAnsi="宋体" w:eastAsia="宋体" w:cs="宋体"/>
          <w:bCs/>
          <w:sz w:val="24"/>
          <w:szCs w:val="22"/>
          <w:highlight w:val="none"/>
        </w:rPr>
        <w:t>从材料级、细节级到构件级的高精度寿命预测。</w:t>
      </w:r>
    </w:p>
    <w:p w14:paraId="7B72A912">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3D0D9F19">
      <w:pPr>
        <w:pageBreakBefore w:val="0"/>
        <w:kinsoku/>
        <w:wordWrap/>
        <w:topLinePunct w:val="0"/>
        <w:autoSpaceDE/>
        <w:autoSpaceDN/>
        <w:bidi w:val="0"/>
        <w:spacing w:line="240" w:lineRule="auto"/>
        <w:ind w:firstLine="480" w:firstLineChars="200"/>
        <w:rPr>
          <w:rFonts w:ascii="宋体" w:hAnsi="宋体" w:eastAsia="宋体" w:cs="宋体"/>
          <w:bCs/>
          <w:sz w:val="24"/>
          <w:szCs w:val="22"/>
          <w:highlight w:val="none"/>
        </w:rPr>
      </w:pPr>
      <w:r>
        <w:rPr>
          <w:rFonts w:hint="eastAsia" w:ascii="宋体" w:hAnsi="宋体" w:eastAsia="宋体" w:cs="宋体"/>
          <w:bCs/>
          <w:sz w:val="24"/>
          <w:szCs w:val="22"/>
          <w:highlight w:val="none"/>
        </w:rPr>
        <w:t>增材制造</w:t>
      </w:r>
    </w:p>
    <w:p w14:paraId="0783CC15">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14D7EA3C">
      <w:pPr>
        <w:pageBreakBefore w:val="0"/>
        <w:kinsoku/>
        <w:wordWrap/>
        <w:topLinePunct w:val="0"/>
        <w:autoSpaceDE/>
        <w:autoSpaceDN/>
        <w:bidi w:val="0"/>
        <w:spacing w:line="240" w:lineRule="auto"/>
        <w:ind w:firstLine="480" w:firstLineChars="200"/>
        <w:rPr>
          <w:rFonts w:ascii="宋体" w:hAnsi="宋体" w:eastAsia="宋体" w:cs="宋体"/>
          <w:bCs/>
          <w:sz w:val="24"/>
          <w:szCs w:val="22"/>
          <w:highlight w:val="none"/>
        </w:rPr>
      </w:pPr>
      <w:r>
        <w:rPr>
          <w:rFonts w:hint="eastAsia" w:ascii="宋体" w:hAnsi="宋体" w:eastAsia="宋体"/>
          <w:b/>
          <w:sz w:val="24"/>
          <w:highlight w:val="none"/>
        </w:rPr>
        <w:t>项目目标：</w:t>
      </w:r>
      <w:r>
        <w:rPr>
          <w:rFonts w:hint="eastAsia" w:ascii="宋体" w:hAnsi="宋体" w:eastAsia="宋体" w:cs="宋体"/>
          <w:bCs/>
          <w:sz w:val="24"/>
          <w:szCs w:val="22"/>
          <w:highlight w:val="none"/>
        </w:rPr>
        <w:t>开展</w:t>
      </w:r>
      <w:r>
        <w:rPr>
          <w:rFonts w:ascii="宋体" w:hAnsi="宋体" w:eastAsia="宋体" w:cs="宋体"/>
          <w:bCs/>
          <w:sz w:val="24"/>
          <w:szCs w:val="22"/>
          <w:highlight w:val="none"/>
        </w:rPr>
        <w:t>SLMed Ti6Al4V</w:t>
      </w:r>
      <w:r>
        <w:rPr>
          <w:rFonts w:hint="eastAsia" w:ascii="宋体" w:hAnsi="宋体" w:eastAsia="宋体" w:cs="宋体"/>
          <w:bCs/>
          <w:sz w:val="24"/>
          <w:szCs w:val="22"/>
          <w:highlight w:val="none"/>
        </w:rPr>
        <w:t>损伤容限与疲劳耐久性试验，揭示不同残余应力水平下单/多缺陷损伤演化协同与竞争机制；建立纳入残余应力效应与多缺陷协同演化的寿命计算方法，实现</w:t>
      </w:r>
      <w:r>
        <w:rPr>
          <w:rFonts w:ascii="宋体" w:hAnsi="宋体" w:eastAsia="宋体" w:cs="宋体"/>
          <w:bCs/>
          <w:sz w:val="24"/>
          <w:szCs w:val="22"/>
          <w:highlight w:val="none"/>
        </w:rPr>
        <w:t>SLMed Ti6Al4V</w:t>
      </w:r>
      <w:r>
        <w:rPr>
          <w:rFonts w:hint="eastAsia" w:ascii="宋体" w:hAnsi="宋体" w:eastAsia="宋体" w:cs="宋体"/>
          <w:bCs/>
          <w:sz w:val="24"/>
          <w:szCs w:val="22"/>
          <w:highlight w:val="none"/>
        </w:rPr>
        <w:t>从材料级、细节级到构件级的高精度寿命预测，并从不同层级验证分析方法的有效性。</w:t>
      </w:r>
    </w:p>
    <w:p w14:paraId="42EAAF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textAlignment w:val="auto"/>
        <w:outlineLvl w:val="9"/>
        <w:rPr>
          <w:rFonts w:ascii="宋体" w:hAnsi="宋体" w:eastAsia="宋体"/>
          <w:bCs/>
          <w:sz w:val="24"/>
          <w:highlight w:val="none"/>
        </w:rPr>
      </w:pPr>
      <w:r>
        <w:rPr>
          <w:rFonts w:hint="eastAsia" w:ascii="宋体" w:hAnsi="宋体" w:eastAsia="宋体"/>
          <w:b/>
          <w:sz w:val="24"/>
          <w:highlight w:val="none"/>
        </w:rPr>
        <w:t>技术指标：</w:t>
      </w:r>
      <w:r>
        <w:rPr>
          <w:rFonts w:hint="eastAsia" w:ascii="宋体" w:hAnsi="宋体" w:eastAsia="宋体"/>
          <w:bCs/>
          <w:sz w:val="24"/>
          <w:highlight w:val="none"/>
        </w:rPr>
        <w:t>（1）核心指标1：</w:t>
      </w:r>
      <w:bookmarkStart w:id="25" w:name="OLE_LINK3"/>
      <w:r>
        <w:rPr>
          <w:rFonts w:hint="eastAsia" w:ascii="宋体" w:hAnsi="宋体" w:eastAsia="宋体"/>
          <w:bCs/>
          <w:sz w:val="24"/>
          <w:highlight w:val="none"/>
        </w:rPr>
        <w:t>与试验数据相比，材料级、细节级和构件级</w:t>
      </w:r>
      <w:bookmarkEnd w:id="25"/>
      <w:r>
        <w:rPr>
          <w:rFonts w:hint="eastAsia" w:ascii="宋体" w:hAnsi="宋体" w:eastAsia="宋体"/>
          <w:bCs/>
          <w:sz w:val="24"/>
          <w:highlight w:val="none"/>
        </w:rPr>
        <w:t>损伤容限预测误差不大于2</w:t>
      </w:r>
      <w:r>
        <w:rPr>
          <w:rFonts w:ascii="宋体" w:hAnsi="宋体" w:eastAsia="宋体"/>
          <w:bCs/>
          <w:sz w:val="24"/>
          <w:highlight w:val="none"/>
        </w:rPr>
        <w:t>0%</w:t>
      </w:r>
      <w:r>
        <w:rPr>
          <w:rFonts w:hint="eastAsia" w:ascii="宋体" w:hAnsi="宋体" w:eastAsia="宋体"/>
          <w:bCs/>
          <w:sz w:val="24"/>
          <w:highlight w:val="none"/>
        </w:rPr>
        <w:t>、5</w:t>
      </w:r>
      <w:r>
        <w:rPr>
          <w:rFonts w:ascii="宋体" w:hAnsi="宋体" w:eastAsia="宋体"/>
          <w:bCs/>
          <w:sz w:val="24"/>
          <w:highlight w:val="none"/>
        </w:rPr>
        <w:t>0%</w:t>
      </w:r>
      <w:r>
        <w:rPr>
          <w:rFonts w:hint="eastAsia" w:ascii="宋体" w:hAnsi="宋体" w:eastAsia="宋体"/>
          <w:bCs/>
          <w:sz w:val="24"/>
          <w:highlight w:val="none"/>
        </w:rPr>
        <w:t>和1</w:t>
      </w:r>
      <w:r>
        <w:rPr>
          <w:rFonts w:ascii="宋体" w:hAnsi="宋体" w:eastAsia="宋体"/>
          <w:bCs/>
          <w:sz w:val="24"/>
          <w:highlight w:val="none"/>
        </w:rPr>
        <w:t>00%</w:t>
      </w:r>
      <w:r>
        <w:rPr>
          <w:rFonts w:hint="eastAsia" w:ascii="宋体" w:hAnsi="宋体" w:eastAsia="宋体"/>
          <w:bCs/>
          <w:sz w:val="24"/>
          <w:highlight w:val="none"/>
        </w:rPr>
        <w:t>，技术成熟度从3级到4级</w:t>
      </w:r>
      <w:r>
        <w:rPr>
          <w:rFonts w:hint="eastAsia" w:ascii="宋体" w:hAnsi="宋体" w:eastAsia="宋体" w:cs="仿宋_GB2312"/>
          <w:bCs/>
          <w:szCs w:val="28"/>
          <w:highlight w:val="none"/>
        </w:rPr>
        <w:t>；</w:t>
      </w:r>
      <w:r>
        <w:rPr>
          <w:rFonts w:hint="eastAsia" w:ascii="宋体" w:hAnsi="宋体" w:eastAsia="宋体"/>
          <w:bCs/>
          <w:sz w:val="24"/>
          <w:highlight w:val="none"/>
        </w:rPr>
        <w:t>（2）核心指标</w:t>
      </w:r>
      <w:r>
        <w:rPr>
          <w:rFonts w:ascii="宋体" w:hAnsi="宋体" w:eastAsia="宋体"/>
          <w:bCs/>
          <w:sz w:val="24"/>
          <w:highlight w:val="none"/>
        </w:rPr>
        <w:t>2</w:t>
      </w:r>
      <w:r>
        <w:rPr>
          <w:rFonts w:hint="eastAsia" w:ascii="宋体" w:hAnsi="宋体" w:eastAsia="宋体"/>
          <w:bCs/>
          <w:sz w:val="24"/>
          <w:highlight w:val="none"/>
        </w:rPr>
        <w:t>：与试验数据相比，材料级、细节级和构件级疲劳耐久性预测误差不大于5</w:t>
      </w:r>
      <w:r>
        <w:rPr>
          <w:rFonts w:ascii="宋体" w:hAnsi="宋体" w:eastAsia="宋体"/>
          <w:bCs/>
          <w:sz w:val="24"/>
          <w:highlight w:val="none"/>
        </w:rPr>
        <w:t>0%</w:t>
      </w:r>
      <w:r>
        <w:rPr>
          <w:rFonts w:hint="eastAsia" w:ascii="宋体" w:hAnsi="宋体" w:eastAsia="宋体"/>
          <w:bCs/>
          <w:sz w:val="24"/>
          <w:highlight w:val="none"/>
        </w:rPr>
        <w:t>、5</w:t>
      </w:r>
      <w:r>
        <w:rPr>
          <w:rFonts w:ascii="宋体" w:hAnsi="宋体" w:eastAsia="宋体"/>
          <w:bCs/>
          <w:sz w:val="24"/>
          <w:highlight w:val="none"/>
        </w:rPr>
        <w:t>0%</w:t>
      </w:r>
      <w:r>
        <w:rPr>
          <w:rFonts w:hint="eastAsia" w:ascii="宋体" w:hAnsi="宋体" w:eastAsia="宋体"/>
          <w:bCs/>
          <w:sz w:val="24"/>
          <w:highlight w:val="none"/>
        </w:rPr>
        <w:t>和1</w:t>
      </w:r>
      <w:r>
        <w:rPr>
          <w:rFonts w:ascii="宋体" w:hAnsi="宋体" w:eastAsia="宋体"/>
          <w:bCs/>
          <w:sz w:val="24"/>
          <w:highlight w:val="none"/>
        </w:rPr>
        <w:t>00%</w:t>
      </w:r>
      <w:r>
        <w:rPr>
          <w:rFonts w:hint="eastAsia" w:ascii="宋体" w:hAnsi="宋体" w:eastAsia="宋体"/>
          <w:bCs/>
          <w:sz w:val="24"/>
          <w:highlight w:val="none"/>
        </w:rPr>
        <w:t>，技术成熟度从3级到4级。</w:t>
      </w:r>
    </w:p>
    <w:p w14:paraId="78FE0EA4">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7DB2B8AD">
      <w:pPr>
        <w:pageBreakBefore w:val="0"/>
        <w:kinsoku/>
        <w:wordWrap/>
        <w:topLinePunct w:val="0"/>
        <w:autoSpaceDE/>
        <w:autoSpaceDN/>
        <w:bidi w:val="0"/>
        <w:spacing w:line="240" w:lineRule="auto"/>
        <w:ind w:firstLine="480" w:firstLineChars="200"/>
        <w:rPr>
          <w:rFonts w:ascii="宋体" w:hAnsi="宋体" w:eastAsia="宋体" w:cs="宋体"/>
          <w:bCs/>
          <w:sz w:val="24"/>
          <w:szCs w:val="22"/>
          <w:highlight w:val="none"/>
        </w:rPr>
      </w:pPr>
      <w:r>
        <w:rPr>
          <w:rFonts w:hint="eastAsia" w:ascii="宋体" w:hAnsi="宋体" w:eastAsia="宋体" w:cs="宋体"/>
          <w:b/>
          <w:sz w:val="24"/>
          <w:szCs w:val="22"/>
          <w:highlight w:val="none"/>
        </w:rPr>
        <w:t>（1）残余应力作用下多缺陷协同演化与竞争机制</w:t>
      </w:r>
    </w:p>
    <w:p w14:paraId="2655346F">
      <w:pPr>
        <w:pageBreakBefore w:val="0"/>
        <w:kinsoku/>
        <w:wordWrap/>
        <w:topLinePunct w:val="0"/>
        <w:autoSpaceDE/>
        <w:autoSpaceDN/>
        <w:bidi w:val="0"/>
        <w:spacing w:line="240" w:lineRule="auto"/>
        <w:ind w:firstLine="480" w:firstLineChars="200"/>
        <w:rPr>
          <w:rFonts w:ascii="宋体" w:hAnsi="宋体" w:eastAsia="宋体" w:cs="宋体"/>
          <w:bCs/>
          <w:sz w:val="24"/>
          <w:szCs w:val="22"/>
          <w:highlight w:val="none"/>
        </w:rPr>
      </w:pPr>
      <w:r>
        <w:rPr>
          <w:rFonts w:hint="eastAsia" w:ascii="宋体" w:hAnsi="宋体" w:eastAsia="宋体" w:cs="宋体"/>
          <w:bCs/>
          <w:sz w:val="24"/>
          <w:szCs w:val="22"/>
          <w:highlight w:val="none"/>
        </w:rPr>
        <w:t>利用缺陷特征和微观组织，初步分析在残余应力场作用下</w:t>
      </w:r>
      <w:r>
        <w:rPr>
          <w:rFonts w:ascii="宋体" w:hAnsi="宋体" w:eastAsia="宋体" w:cs="宋体"/>
          <w:bCs/>
          <w:sz w:val="24"/>
          <w:szCs w:val="22"/>
          <w:highlight w:val="none"/>
        </w:rPr>
        <w:t>SLMed Ti6Al4V</w:t>
      </w:r>
      <w:r>
        <w:rPr>
          <w:rFonts w:hint="eastAsia" w:ascii="宋体" w:hAnsi="宋体" w:eastAsia="宋体" w:cs="宋体"/>
          <w:bCs/>
          <w:sz w:val="24"/>
          <w:szCs w:val="22"/>
          <w:highlight w:val="none"/>
        </w:rPr>
        <w:t>的失效模式，并形成初步研究方案，并基于现有航空型号已出现或潜在的失效案例，进一步完善技术方案。开展典型试验件制造，综合运用扫描电镜、原位CT等先进技术，重点开展缺陷、微观组织及断口溯源分析，获取损伤尺寸、分布形态与组织状态等关键参数，得到不同残余应力下多缺陷协同演化与竞争机制。</w:t>
      </w:r>
    </w:p>
    <w:p w14:paraId="2B68009A">
      <w:pPr>
        <w:pageBreakBefore w:val="0"/>
        <w:kinsoku/>
        <w:wordWrap/>
        <w:topLinePunct w:val="0"/>
        <w:autoSpaceDE/>
        <w:autoSpaceDN/>
        <w:bidi w:val="0"/>
        <w:spacing w:line="240" w:lineRule="auto"/>
        <w:ind w:firstLine="480" w:firstLineChars="200"/>
        <w:rPr>
          <w:rFonts w:ascii="宋体" w:hAnsi="宋体" w:eastAsia="宋体" w:cs="宋体"/>
          <w:b/>
          <w:sz w:val="24"/>
          <w:szCs w:val="22"/>
          <w:highlight w:val="none"/>
        </w:rPr>
      </w:pPr>
      <w:r>
        <w:rPr>
          <w:rFonts w:hint="eastAsia" w:ascii="宋体" w:hAnsi="宋体" w:eastAsia="宋体" w:cs="宋体"/>
          <w:b/>
          <w:sz w:val="24"/>
          <w:szCs w:val="22"/>
          <w:highlight w:val="none"/>
        </w:rPr>
        <w:t>（2）残余应力作用下多缺陷协同损伤机理与三维疲劳寿命预测</w:t>
      </w:r>
    </w:p>
    <w:p w14:paraId="1B82331D">
      <w:pPr>
        <w:pageBreakBefore w:val="0"/>
        <w:kinsoku/>
        <w:wordWrap/>
        <w:topLinePunct w:val="0"/>
        <w:autoSpaceDE/>
        <w:autoSpaceDN/>
        <w:bidi w:val="0"/>
        <w:spacing w:line="240" w:lineRule="auto"/>
        <w:ind w:firstLine="480" w:firstLineChars="200"/>
        <w:rPr>
          <w:rFonts w:ascii="宋体" w:hAnsi="宋体" w:eastAsia="宋体" w:cs="宋体"/>
          <w:bCs/>
          <w:sz w:val="24"/>
          <w:szCs w:val="22"/>
          <w:highlight w:val="none"/>
        </w:rPr>
      </w:pPr>
      <w:r>
        <w:rPr>
          <w:rFonts w:hint="eastAsia" w:ascii="宋体" w:hAnsi="宋体" w:eastAsia="宋体" w:cs="宋体"/>
          <w:bCs/>
          <w:sz w:val="24"/>
          <w:szCs w:val="22"/>
          <w:highlight w:val="none"/>
        </w:rPr>
        <w:t>基于三维疲劳断裂理论，结合研究内容一得到的损伤演化机制，修正三维条带屈服模型中的初始应力场，建立纳入残余应力、缺陷及微观组织的三维裂纹剩余寿命预测模型。通过引入三维微缺陷系数，将三维裂纹剩余寿命方法的预测能力拓展至微裂纹尺度，剖析微观组织影响机制。基于研究内容一得到的多缺陷分布，建立三维数值分析模型，并结合损伤容限预测方法，实现纳入残余应力、多缺陷效应及微观组织的疲劳耐久性预测。</w:t>
      </w:r>
    </w:p>
    <w:p w14:paraId="01DA78EE">
      <w:pPr>
        <w:pageBreakBefore w:val="0"/>
        <w:kinsoku/>
        <w:wordWrap/>
        <w:topLinePunct w:val="0"/>
        <w:autoSpaceDE/>
        <w:autoSpaceDN/>
        <w:bidi w:val="0"/>
        <w:spacing w:line="240" w:lineRule="auto"/>
        <w:ind w:firstLine="480" w:firstLineChars="200"/>
        <w:rPr>
          <w:rFonts w:ascii="宋体" w:hAnsi="宋体" w:eastAsia="宋体" w:cs="宋体"/>
          <w:bCs/>
          <w:sz w:val="24"/>
          <w:szCs w:val="22"/>
          <w:highlight w:val="none"/>
        </w:rPr>
      </w:pPr>
      <w:r>
        <w:rPr>
          <w:rFonts w:hint="eastAsia" w:ascii="宋体" w:hAnsi="宋体" w:eastAsia="宋体" w:cs="宋体"/>
          <w:b/>
          <w:sz w:val="24"/>
          <w:szCs w:val="22"/>
          <w:highlight w:val="none"/>
        </w:rPr>
        <w:t>（3）基于构件载荷与试验数据的模型验证与优化研究</w:t>
      </w:r>
    </w:p>
    <w:p w14:paraId="51A335A4">
      <w:pPr>
        <w:pageBreakBefore w:val="0"/>
        <w:kinsoku/>
        <w:wordWrap/>
        <w:topLinePunct w:val="0"/>
        <w:autoSpaceDE/>
        <w:autoSpaceDN/>
        <w:bidi w:val="0"/>
        <w:spacing w:line="240" w:lineRule="auto"/>
        <w:ind w:firstLine="480" w:firstLineChars="200"/>
        <w:rPr>
          <w:rFonts w:hint="eastAsia" w:ascii="宋体" w:hAnsi="宋体" w:eastAsia="宋体" w:cs="宋体"/>
          <w:bCs/>
          <w:sz w:val="24"/>
          <w:szCs w:val="22"/>
          <w:highlight w:val="none"/>
        </w:rPr>
      </w:pPr>
      <w:r>
        <w:rPr>
          <w:rFonts w:hint="eastAsia" w:ascii="宋体" w:hAnsi="宋体" w:eastAsia="宋体" w:cs="宋体"/>
          <w:bCs/>
          <w:sz w:val="24"/>
          <w:szCs w:val="22"/>
          <w:highlight w:val="none"/>
        </w:rPr>
        <w:t>整合多尺度缺陷信息、残余应力分布、组织状态及材料力学特性，发展可用于寿命预测的分析框架及算法，实现SLMed Ti6Al4V构件疲劳寿命的量化评估与不确定性分析。聚焦琴键零件细节级特征，基于试验载荷谱和材料性能数据，验证并优化模型参数，形成可工程化应用的三维疲劳寿命预测方法。</w:t>
      </w:r>
    </w:p>
    <w:p w14:paraId="01F669D6">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1107E889">
      <w:pPr>
        <w:pageBreakBefore w:val="0"/>
        <w:numPr>
          <w:ilvl w:val="0"/>
          <w:numId w:val="0"/>
        </w:numPr>
        <w:kinsoku/>
        <w:wordWrap/>
        <w:topLinePunct w:val="0"/>
        <w:autoSpaceDE/>
        <w:autoSpaceDN/>
        <w:bidi w:val="0"/>
        <w:spacing w:line="240" w:lineRule="auto"/>
        <w:rPr>
          <w:rFonts w:hint="eastAsia" w:ascii="宋体" w:hAnsi="宋体" w:eastAsia="宋体"/>
          <w:bCs/>
          <w:sz w:val="24"/>
          <w:highlight w:val="none"/>
        </w:rPr>
      </w:pPr>
      <w:r>
        <w:rPr>
          <w:rFonts w:hint="eastAsia" w:ascii="宋体" w:hAnsi="宋体" w:eastAsia="宋体" w:cstheme="minorBidi"/>
          <w:bCs/>
          <w:kern w:val="2"/>
          <w:sz w:val="24"/>
          <w:szCs w:val="24"/>
          <w:highlight w:val="none"/>
          <w:lang w:val="en-US" w:eastAsia="zh-CN" w:bidi="ar-SA"/>
        </w:rPr>
        <w:t>（1）</w:t>
      </w:r>
      <w:r>
        <w:rPr>
          <w:rFonts w:hint="eastAsia" w:ascii="宋体" w:hAnsi="宋体" w:eastAsia="宋体"/>
          <w:bCs/>
          <w:sz w:val="24"/>
          <w:highlight w:val="none"/>
        </w:rPr>
        <w:t>预期成果1：</w:t>
      </w:r>
      <w:r>
        <w:rPr>
          <w:rFonts w:ascii="宋体" w:hAnsi="宋体" w:eastAsia="宋体"/>
          <w:bCs/>
          <w:sz w:val="24"/>
          <w:highlight w:val="none"/>
        </w:rPr>
        <w:t>SLMed Ti6Al4V</w:t>
      </w:r>
      <w:r>
        <w:rPr>
          <w:rFonts w:hint="eastAsia" w:ascii="宋体" w:hAnsi="宋体" w:eastAsia="宋体"/>
          <w:bCs/>
          <w:sz w:val="24"/>
          <w:highlight w:val="none"/>
        </w:rPr>
        <w:t>疲劳单/多缺陷损伤演化协同与竞争机制。交付形式：报告2份，学术论文1篇，涵盖</w:t>
      </w:r>
      <w:r>
        <w:rPr>
          <w:rFonts w:ascii="宋体" w:hAnsi="宋体" w:eastAsia="宋体"/>
          <w:bCs/>
          <w:sz w:val="24"/>
          <w:highlight w:val="none"/>
        </w:rPr>
        <w:t>SLMed Ti6Al4V</w:t>
      </w:r>
      <w:r>
        <w:rPr>
          <w:rFonts w:hint="eastAsia" w:ascii="宋体" w:hAnsi="宋体" w:eastAsia="宋体"/>
          <w:bCs/>
          <w:sz w:val="24"/>
          <w:highlight w:val="none"/>
        </w:rPr>
        <w:t>典型工艺下的残余应力表征、损伤模式及失效机理。验收方式：资料验收。</w:t>
      </w:r>
    </w:p>
    <w:p w14:paraId="7866A1F9">
      <w:pPr>
        <w:pageBreakBefore w:val="0"/>
        <w:widowControl/>
        <w:numPr>
          <w:ilvl w:val="0"/>
          <w:numId w:val="0"/>
        </w:numPr>
        <w:kinsoku/>
        <w:wordWrap/>
        <w:topLinePunct w:val="0"/>
        <w:autoSpaceDE/>
        <w:autoSpaceDN/>
        <w:bidi w:val="0"/>
        <w:spacing w:line="240" w:lineRule="auto"/>
        <w:rPr>
          <w:rFonts w:ascii="宋体" w:hAnsi="宋体" w:eastAsia="宋体"/>
          <w:b w:val="0"/>
          <w:bCs/>
          <w:sz w:val="24"/>
          <w:highlight w:val="none"/>
        </w:rPr>
      </w:pPr>
      <w:r>
        <w:rPr>
          <w:rFonts w:hint="eastAsia" w:ascii="宋体" w:hAnsi="宋体" w:eastAsia="宋体" w:cstheme="minorBidi"/>
          <w:bCs/>
          <w:kern w:val="2"/>
          <w:sz w:val="24"/>
          <w:szCs w:val="24"/>
          <w:highlight w:val="none"/>
          <w:lang w:val="en-US" w:eastAsia="zh-CN" w:bidi="ar-SA"/>
        </w:rPr>
        <w:t>（2）</w:t>
      </w:r>
      <w:r>
        <w:rPr>
          <w:rFonts w:hint="eastAsia" w:ascii="宋体" w:hAnsi="宋体" w:eastAsia="宋体"/>
          <w:bCs/>
          <w:sz w:val="24"/>
          <w:highlight w:val="none"/>
        </w:rPr>
        <w:t>预期成果</w:t>
      </w:r>
      <w:r>
        <w:rPr>
          <w:rFonts w:ascii="宋体" w:hAnsi="宋体" w:eastAsia="宋体"/>
          <w:bCs/>
          <w:sz w:val="24"/>
          <w:highlight w:val="none"/>
        </w:rPr>
        <w:t>2</w:t>
      </w:r>
      <w:r>
        <w:rPr>
          <w:rFonts w:hint="eastAsia" w:ascii="宋体" w:hAnsi="宋体" w:eastAsia="宋体"/>
          <w:bCs/>
          <w:sz w:val="24"/>
          <w:highlight w:val="none"/>
        </w:rPr>
        <w:t>：</w:t>
      </w:r>
      <w:r>
        <w:rPr>
          <w:rFonts w:ascii="宋体" w:hAnsi="宋体" w:eastAsia="宋体"/>
          <w:bCs/>
          <w:sz w:val="24"/>
          <w:highlight w:val="none"/>
        </w:rPr>
        <w:t>SLMed Ti6Al4V</w:t>
      </w:r>
      <w:r>
        <w:rPr>
          <w:rFonts w:hint="eastAsia" w:ascii="宋体" w:hAnsi="宋体" w:eastAsia="宋体"/>
          <w:bCs/>
          <w:sz w:val="24"/>
          <w:highlight w:val="none"/>
        </w:rPr>
        <w:t>单/多缺陷损伤容限与疲劳耐久分析方法。交付形式：报告1份（含源代码），学术论文1篇，申请专利</w:t>
      </w:r>
      <w:r>
        <w:rPr>
          <w:rFonts w:ascii="宋体" w:hAnsi="宋体" w:eastAsia="宋体"/>
          <w:bCs/>
          <w:sz w:val="24"/>
          <w:highlight w:val="none"/>
        </w:rPr>
        <w:t>1</w:t>
      </w:r>
      <w:r>
        <w:rPr>
          <w:rFonts w:hint="eastAsia" w:ascii="宋体" w:hAnsi="宋体" w:eastAsia="宋体"/>
          <w:bCs/>
          <w:sz w:val="24"/>
          <w:highlight w:val="none"/>
        </w:rPr>
        <w:t>项。验收方式：资料验收。</w:t>
      </w:r>
    </w:p>
    <w:p w14:paraId="64D43AB9">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建议研究周期和启动时间</w:t>
      </w:r>
    </w:p>
    <w:p w14:paraId="306191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200"/>
        <w:textAlignment w:val="auto"/>
        <w:outlineLvl w:val="9"/>
        <w:rPr>
          <w:rFonts w:hint="eastAsia" w:ascii="宋体" w:hAnsi="宋体" w:eastAsia="宋体"/>
          <w:b w:val="0"/>
          <w:bCs/>
          <w:sz w:val="24"/>
          <w:highlight w:val="none"/>
          <w:lang w:eastAsia="zh-CN"/>
        </w:rPr>
      </w:pPr>
      <w:r>
        <w:rPr>
          <w:rFonts w:hint="eastAsia" w:ascii="宋体" w:hAnsi="宋体" w:eastAsia="宋体"/>
          <w:b w:val="0"/>
          <w:bCs/>
          <w:sz w:val="24"/>
          <w:highlight w:val="none"/>
        </w:rPr>
        <w:t>24个月</w:t>
      </w:r>
      <w:r>
        <w:rPr>
          <w:rFonts w:hint="eastAsia" w:ascii="宋体" w:hAnsi="宋体" w:eastAsia="宋体"/>
          <w:b w:val="0"/>
          <w:bCs/>
          <w:sz w:val="24"/>
          <w:highlight w:val="none"/>
          <w:lang w:eastAsia="zh-CN"/>
        </w:rPr>
        <w:t>。</w:t>
      </w:r>
    </w:p>
    <w:p w14:paraId="2BE87981">
      <w:pPr>
        <w:pageBreakBefore w:val="0"/>
        <w:numPr>
          <w:ilvl w:val="0"/>
          <w:numId w:val="44"/>
        </w:numPr>
        <w:kinsoku/>
        <w:wordWrap/>
        <w:topLinePunct w:val="0"/>
        <w:autoSpaceDE/>
        <w:autoSpaceDN/>
        <w:bidi w:val="0"/>
        <w:spacing w:line="240" w:lineRule="auto"/>
        <w:ind w:left="425" w:leftChars="0" w:hanging="425" w:firstLineChars="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所需研究经费</w:t>
      </w:r>
    </w:p>
    <w:p w14:paraId="47DC596C">
      <w:pPr>
        <w:pageBreakBefore w:val="0"/>
        <w:kinsoku/>
        <w:wordWrap/>
        <w:topLinePunct w:val="0"/>
        <w:autoSpaceDE/>
        <w:autoSpaceDN/>
        <w:bidi w:val="0"/>
        <w:spacing w:line="240" w:lineRule="auto"/>
        <w:ind w:firstLine="480" w:firstLineChars="200"/>
        <w:rPr>
          <w:rFonts w:ascii="宋体" w:hAnsi="宋体" w:eastAsia="宋体"/>
          <w:b w:val="0"/>
          <w:bCs/>
          <w:sz w:val="24"/>
          <w:highlight w:val="none"/>
        </w:rPr>
      </w:pPr>
      <w:r>
        <w:rPr>
          <w:rFonts w:hint="eastAsia" w:ascii="宋体" w:hAnsi="宋体" w:eastAsia="宋体"/>
          <w:b w:val="0"/>
          <w:bCs/>
          <w:sz w:val="24"/>
          <w:highlight w:val="none"/>
        </w:rPr>
        <w:t>50万元。</w:t>
      </w:r>
    </w:p>
    <w:p w14:paraId="7BF9732D">
      <w:pPr>
        <w:pStyle w:val="8"/>
        <w:pageBreakBefore w:val="0"/>
        <w:kinsoku/>
        <w:wordWrap/>
        <w:topLinePunct w:val="0"/>
        <w:autoSpaceDE/>
        <w:autoSpaceDN/>
        <w:bidi w:val="0"/>
        <w:spacing w:line="240" w:lineRule="auto"/>
        <w:jc w:val="left"/>
        <w:rPr>
          <w:rFonts w:hint="eastAsia" w:ascii="宋体" w:hAnsi="宋体" w:eastAsia="宋体"/>
          <w:b w:val="0"/>
          <w:bCs/>
          <w:sz w:val="24"/>
          <w:highlight w:val="none"/>
        </w:rPr>
      </w:pPr>
    </w:p>
    <w:p w14:paraId="7371A90E">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p>
    <w:p w14:paraId="49E37DB6">
      <w:pPr>
        <w:pStyle w:val="2"/>
        <w:pageBreakBefore w:val="0"/>
        <w:kinsoku/>
        <w:wordWrap/>
        <w:topLinePunct w:val="0"/>
        <w:autoSpaceDE/>
        <w:autoSpaceDN/>
        <w:bidi w:val="0"/>
        <w:spacing w:line="240" w:lineRule="auto"/>
        <w:rPr>
          <w:highlight w:val="none"/>
        </w:rPr>
      </w:pPr>
      <w:bookmarkStart w:id="26" w:name="_Toc7299"/>
      <w:r>
        <w:rPr>
          <w:rFonts w:hint="eastAsia"/>
          <w:highlight w:val="none"/>
        </w:rPr>
        <w:t>蒙皮临时防护涂料研发</w:t>
      </w:r>
      <w:bookmarkEnd w:id="26"/>
    </w:p>
    <w:p w14:paraId="02EA61D8">
      <w:pPr>
        <w:pageBreakBefore w:val="0"/>
        <w:kinsoku/>
        <w:wordWrap/>
        <w:topLinePunct w:val="0"/>
        <w:autoSpaceDE/>
        <w:autoSpaceDN/>
        <w:bidi w:val="0"/>
        <w:spacing w:line="240" w:lineRule="auto"/>
        <w:rPr>
          <w:rFonts w:hint="eastAsia"/>
          <w:highlight w:val="none"/>
          <w:lang w:eastAsia="zh-CN"/>
        </w:rPr>
      </w:pPr>
    </w:p>
    <w:p w14:paraId="288D63C7">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4D5261BB">
      <w:pPr>
        <w:keepNext w:val="0"/>
        <w:keepLines w:val="0"/>
        <w:pageBreakBefore w:val="0"/>
        <w:widowControl w:val="0"/>
        <w:kinsoku/>
        <w:wordWrap/>
        <w:overflowPunct/>
        <w:topLinePunct w:val="0"/>
        <w:autoSpaceDE/>
        <w:autoSpaceDN/>
        <w:bidi w:val="0"/>
        <w:snapToGrid w:val="0"/>
        <w:spacing w:line="240" w:lineRule="auto"/>
        <w:ind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主要应用于生产材料、零件和装配件在制造、贮存和运输过程中的临时保护，适用温度为常温。该涂层主要用于飞机外部不涂漆的表面，以及蒙皮、飞机前缘涂底胶或底胶上清液表面，不需要时可以用碱性水溶液或丙酮/甲乙酮等溶剂</w:t>
      </w:r>
      <w:r>
        <w:rPr>
          <w:rFonts w:hint="eastAsia" w:cs="黑体" w:asciiTheme="minorEastAsia" w:hAnsiTheme="minorEastAsia"/>
          <w:sz w:val="24"/>
          <w:szCs w:val="22"/>
          <w:highlight w:val="none"/>
          <w:lang w:val="en-US" w:eastAsia="zh-CN"/>
        </w:rPr>
        <w:t>等方式</w:t>
      </w:r>
      <w:r>
        <w:rPr>
          <w:rFonts w:hint="eastAsia" w:cs="黑体" w:asciiTheme="minorEastAsia" w:hAnsiTheme="minorEastAsia"/>
          <w:sz w:val="24"/>
          <w:szCs w:val="22"/>
          <w:highlight w:val="none"/>
        </w:rPr>
        <w:t>去除。采用</w:t>
      </w: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涂料的露天室外零部件保护周期不得低于6个月。目前商飞主要使用国外的</w:t>
      </w: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涂料，国内尚无完全满足要求的同类产品，飞机零部件临时涂层保护工艺面临供应链风险，材料的采购周期长、成本高，急需进行研发。</w:t>
      </w:r>
    </w:p>
    <w:p w14:paraId="2E4E50BD">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52295896">
      <w:pPr>
        <w:keepNext w:val="0"/>
        <w:keepLines w:val="0"/>
        <w:pageBreakBefore w:val="0"/>
        <w:widowControl w:val="0"/>
        <w:kinsoku/>
        <w:wordWrap/>
        <w:overflowPunct/>
        <w:topLinePunct w:val="0"/>
        <w:autoSpaceDE/>
        <w:autoSpaceDN/>
        <w:bidi w:val="0"/>
        <w:snapToGrid w:val="0"/>
        <w:spacing w:line="240" w:lineRule="auto"/>
        <w:ind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材料与标准件</w:t>
      </w:r>
    </w:p>
    <w:p w14:paraId="404E7F6C">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13E4283D">
      <w:pPr>
        <w:keepNext w:val="0"/>
        <w:keepLines w:val="0"/>
        <w:pageBreakBefore w:val="0"/>
        <w:widowControl w:val="0"/>
        <w:kinsoku/>
        <w:wordWrap/>
        <w:overflowPunct/>
        <w:topLinePunct w:val="0"/>
        <w:autoSpaceDE/>
        <w:autoSpaceDN/>
        <w:bidi w:val="0"/>
        <w:snapToGrid w:val="0"/>
        <w:spacing w:line="240" w:lineRule="auto"/>
        <w:ind w:firstLine="480" w:firstLineChars="200"/>
        <w:contextualSpacing/>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b/>
          <w:sz w:val="24"/>
          <w:highlight w:val="none"/>
        </w:rPr>
        <w:t>项目目标：</w:t>
      </w:r>
    </w:p>
    <w:p w14:paraId="3A1FD16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hAnsi="宋体"/>
          <w:sz w:val="24"/>
          <w:highlight w:val="none"/>
        </w:rPr>
      </w:pPr>
      <w:r>
        <w:rPr>
          <w:rFonts w:hint="eastAsia" w:cs="黑体" w:asciiTheme="minorEastAsia" w:hAnsiTheme="minorEastAsia"/>
          <w:sz w:val="24"/>
          <w:szCs w:val="22"/>
          <w:highlight w:val="none"/>
        </w:rPr>
        <w:t>针对商飞对</w:t>
      </w: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涂料的需求，开展</w:t>
      </w: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w:t>
      </w:r>
      <w:r>
        <w:rPr>
          <w:rFonts w:hint="eastAsia" w:hAnsi="宋体"/>
          <w:sz w:val="24"/>
          <w:highlight w:val="none"/>
        </w:rPr>
        <w:t>的配方优化、</w:t>
      </w:r>
      <w:r>
        <w:rPr>
          <w:rFonts w:hint="eastAsia" w:cs="黑体" w:asciiTheme="minorEastAsia" w:hAnsiTheme="minorEastAsia"/>
          <w:sz w:val="24"/>
          <w:szCs w:val="22"/>
          <w:highlight w:val="none"/>
        </w:rPr>
        <w:t>施工工艺研究、全面性能评价以及稳定性研究</w:t>
      </w:r>
      <w:r>
        <w:rPr>
          <w:rFonts w:hint="eastAsia" w:hAnsi="宋体"/>
          <w:sz w:val="24"/>
          <w:highlight w:val="none"/>
        </w:rPr>
        <w:t>，重点突破</w:t>
      </w: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w:t>
      </w:r>
      <w:r>
        <w:rPr>
          <w:rFonts w:hint="eastAsia" w:hAnsi="宋体"/>
          <w:sz w:val="24"/>
          <w:highlight w:val="none"/>
        </w:rPr>
        <w:t>防护性与可去除性匹配的关键问题，研发达到国外相应产品性能指标的</w:t>
      </w:r>
      <w:r>
        <w:rPr>
          <w:rFonts w:hint="eastAsia" w:cs="黑体" w:asciiTheme="minorEastAsia" w:hAnsiTheme="minorEastAsia"/>
          <w:sz w:val="24"/>
          <w:szCs w:val="22"/>
          <w:highlight w:val="none"/>
          <w:lang w:val="en-US" w:eastAsia="zh-CN"/>
        </w:rPr>
        <w:t>产品</w:t>
      </w:r>
      <w:r>
        <w:rPr>
          <w:rFonts w:hint="eastAsia" w:cs="黑体" w:asciiTheme="minorEastAsia" w:hAnsiTheme="minorEastAsia"/>
          <w:sz w:val="24"/>
          <w:szCs w:val="22"/>
          <w:highlight w:val="none"/>
        </w:rPr>
        <w:t>，满足生产材料、零件和装配件在制造、贮存和运输过程中的临时保护要求</w:t>
      </w:r>
      <w:r>
        <w:rPr>
          <w:rFonts w:hint="eastAsia" w:hAnsi="宋体"/>
          <w:sz w:val="24"/>
          <w:highlight w:val="none"/>
        </w:rPr>
        <w:t>。</w:t>
      </w:r>
    </w:p>
    <w:p w14:paraId="57C360B7">
      <w:pPr>
        <w:keepNext w:val="0"/>
        <w:keepLines w:val="0"/>
        <w:pageBreakBefore w:val="0"/>
        <w:widowControl w:val="0"/>
        <w:kinsoku/>
        <w:wordWrap/>
        <w:overflowPunct/>
        <w:topLinePunct w:val="0"/>
        <w:autoSpaceDE/>
        <w:autoSpaceDN/>
        <w:bidi w:val="0"/>
        <w:snapToGrid w:val="0"/>
        <w:spacing w:line="240" w:lineRule="auto"/>
        <w:ind w:firstLine="480" w:firstLineChars="200"/>
        <w:contextualSpacing/>
        <w:textAlignment w:val="auto"/>
        <w:rPr>
          <w:rFonts w:ascii="仿宋_GB2312" w:eastAsia="仿宋_GB2312"/>
          <w:b/>
          <w:sz w:val="24"/>
          <w:highlight w:val="none"/>
        </w:rPr>
      </w:pPr>
      <w:r>
        <w:rPr>
          <w:rFonts w:hint="eastAsia" w:asciiTheme="minorEastAsia" w:hAnsiTheme="minorEastAsia" w:eastAsiaTheme="minorEastAsia" w:cstheme="minorEastAsia"/>
          <w:b/>
          <w:sz w:val="24"/>
          <w:highlight w:val="none"/>
        </w:rPr>
        <w:t>技术指标</w:t>
      </w:r>
      <w:r>
        <w:rPr>
          <w:rFonts w:hint="eastAsia" w:ascii="仿宋_GB2312" w:eastAsia="仿宋_GB2312"/>
          <w:b/>
          <w:sz w:val="24"/>
          <w:highlight w:val="none"/>
        </w:rPr>
        <w:t>：</w:t>
      </w:r>
    </w:p>
    <w:p w14:paraId="361C429A">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干燥时间：涂层在干燥1 h～1.1 h后适合操作；</w:t>
      </w:r>
    </w:p>
    <w:p w14:paraId="0814141D">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可去除性：可被丙酮或甲乙酮</w:t>
      </w:r>
      <w:r>
        <w:rPr>
          <w:rFonts w:hint="eastAsia" w:cs="黑体" w:asciiTheme="minorEastAsia" w:hAnsiTheme="minorEastAsia"/>
          <w:sz w:val="24"/>
          <w:szCs w:val="22"/>
          <w:highlight w:val="none"/>
          <w:lang w:val="en-US" w:eastAsia="zh-CN"/>
        </w:rPr>
        <w:t>等方式</w:t>
      </w:r>
      <w:r>
        <w:rPr>
          <w:rFonts w:hint="eastAsia" w:cs="黑体" w:asciiTheme="minorEastAsia" w:hAnsiTheme="minorEastAsia"/>
          <w:sz w:val="24"/>
          <w:szCs w:val="22"/>
          <w:highlight w:val="none"/>
        </w:rPr>
        <w:t>去除；</w:t>
      </w:r>
    </w:p>
    <w:p w14:paraId="46EE5DDF">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涂料附着力：距离划线0.8 mm (1/32 in)处以外应无附着力损失；</w:t>
      </w:r>
    </w:p>
    <w:p w14:paraId="1DEA8D2D">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抗冲击性：涂层应无开裂或附着力减少；</w:t>
      </w:r>
    </w:p>
    <w:p w14:paraId="55155AF3">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铆接胶带：①移除铆接胶带时，不应将涂层从基材上拉下；②移除铆接胶带后，涂层应无指定范围内的可见胶带残留物</w:t>
      </w:r>
      <w:r>
        <w:rPr>
          <w:rFonts w:hint="eastAsia" w:cs="黑体" w:asciiTheme="minorEastAsia" w:hAnsiTheme="minorEastAsia"/>
          <w:sz w:val="24"/>
          <w:szCs w:val="22"/>
          <w:highlight w:val="none"/>
          <w:lang w:eastAsia="zh-CN"/>
        </w:rPr>
        <w:t>；</w:t>
      </w:r>
    </w:p>
    <w:p w14:paraId="67589939">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lang w:val="en-US" w:eastAsia="zh-CN"/>
        </w:rPr>
      </w:pPr>
      <w:r>
        <w:rPr>
          <w:rFonts w:hint="eastAsia" w:cs="黑体" w:asciiTheme="minorEastAsia" w:hAnsiTheme="minorEastAsia"/>
          <w:sz w:val="24"/>
          <w:szCs w:val="22"/>
          <w:highlight w:val="none"/>
          <w:lang w:val="en-US" w:eastAsia="zh-CN"/>
        </w:rPr>
        <w:t>耐水性：涂层在浸水后应无起泡或附着力减少；</w:t>
      </w:r>
    </w:p>
    <w:p w14:paraId="3A002310">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lang w:val="en-US" w:eastAsia="zh-CN"/>
        </w:rPr>
      </w:pPr>
      <w:r>
        <w:rPr>
          <w:rFonts w:hint="eastAsia" w:cs="黑体" w:asciiTheme="minorEastAsia" w:hAnsiTheme="minorEastAsia"/>
          <w:sz w:val="24"/>
          <w:szCs w:val="22"/>
          <w:highlight w:val="none"/>
          <w:lang w:val="en-US" w:eastAsia="zh-CN"/>
        </w:rPr>
        <w:t>粘度：制造商鉴定时所确定的数值±15%。材料应处于稳定状态，以保证在接收时和整个贮存过程中其粘度值在此范围内；</w:t>
      </w:r>
    </w:p>
    <w:p w14:paraId="5B9C3231">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lang w:val="en-US" w:eastAsia="zh-CN"/>
        </w:rPr>
      </w:pPr>
      <w:r>
        <w:rPr>
          <w:rFonts w:hint="eastAsia" w:cs="黑体" w:asciiTheme="minorEastAsia" w:hAnsiTheme="minorEastAsia"/>
          <w:sz w:val="24"/>
          <w:szCs w:val="22"/>
          <w:highlight w:val="none"/>
          <w:lang w:val="en-US" w:eastAsia="zh-CN"/>
        </w:rPr>
        <w:t>耐紫外性能：涂层在紫外线暴露后应无起泡、掉皮或开裂迹象。允许部分涂层褪色。暴露后的涂层应满足可去除的要求。暴露后的基材应无斑点；</w:t>
      </w:r>
    </w:p>
    <w:p w14:paraId="5141BCCD">
      <w:pPr>
        <w:keepNext w:val="0"/>
        <w:keepLines w:val="0"/>
        <w:pageBreakBefore w:val="0"/>
        <w:widowControl w:val="0"/>
        <w:numPr>
          <w:ilvl w:val="0"/>
          <w:numId w:val="5"/>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6个月前后飞机室内和室外保护效果工艺评价：涂层表面无明显变色与破坏，去除后，飞机保护对象表面无残留，无腐蚀与损伤</w:t>
      </w:r>
      <w:r>
        <w:rPr>
          <w:rFonts w:hint="eastAsia" w:cs="黑体" w:asciiTheme="minorEastAsia" w:hAnsiTheme="minorEastAsia"/>
          <w:sz w:val="24"/>
          <w:szCs w:val="22"/>
          <w:highlight w:val="none"/>
        </w:rPr>
        <w:t>。</w:t>
      </w:r>
    </w:p>
    <w:p w14:paraId="7AF1F06A">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66C213CD">
      <w:pPr>
        <w:keepNext w:val="0"/>
        <w:keepLines w:val="0"/>
        <w:pageBreakBefore w:val="0"/>
        <w:widowControl w:val="0"/>
        <w:numPr>
          <w:ilvl w:val="0"/>
          <w:numId w:val="0"/>
        </w:numPr>
        <w:kinsoku/>
        <w:wordWrap/>
        <w:overflowPunct/>
        <w:topLinePunct w:val="0"/>
        <w:autoSpaceDE/>
        <w:autoSpaceDN/>
        <w:bidi w:val="0"/>
        <w:snapToGrid w:val="0"/>
        <w:spacing w:line="240" w:lineRule="auto"/>
        <w:ind w:leftChars="200"/>
        <w:contextualSpacing/>
        <w:textAlignment w:val="auto"/>
        <w:rPr>
          <w:rFonts w:hint="eastAsia" w:ascii="宋体" w:hAnsi="宋体" w:eastAsia="宋体" w:cs="宋体"/>
          <w:b/>
          <w:sz w:val="24"/>
          <w:szCs w:val="22"/>
          <w:highlight w:val="none"/>
        </w:rPr>
      </w:pPr>
      <w:r>
        <w:rPr>
          <w:rFonts w:hint="eastAsia" w:ascii="宋体" w:hAnsi="宋体" w:eastAsia="宋体" w:cs="宋体"/>
          <w:b/>
          <w:sz w:val="24"/>
          <w:szCs w:val="22"/>
          <w:highlight w:val="none"/>
        </w:rPr>
        <w:t>拟解决的关键技术</w:t>
      </w:r>
    </w:p>
    <w:p w14:paraId="6B93E9AD">
      <w:pPr>
        <w:keepNext w:val="0"/>
        <w:keepLines w:val="0"/>
        <w:pageBreakBefore w:val="0"/>
        <w:widowControl w:val="0"/>
        <w:kinsoku/>
        <w:wordWrap/>
        <w:overflowPunct/>
        <w:topLinePunct w:val="0"/>
        <w:autoSpaceDE/>
        <w:autoSpaceDN/>
        <w:bidi w:val="0"/>
        <w:snapToGrid w:val="0"/>
        <w:spacing w:line="240" w:lineRule="auto"/>
        <w:ind w:left="480"/>
        <w:contextualSpacing/>
        <w:textAlignment w:val="auto"/>
        <w:rPr>
          <w:rFonts w:hint="eastAsia" w:ascii="仿宋_GB2312" w:hAnsi="宋体" w:cs="宋体" w:eastAsiaTheme="minorEastAsia"/>
          <w:b/>
          <w:sz w:val="24"/>
          <w:szCs w:val="22"/>
          <w:highlight w:val="none"/>
          <w:lang w:eastAsia="zh-CN"/>
        </w:rPr>
      </w:pPr>
      <w:r>
        <w:rPr>
          <w:rFonts w:hint="eastAsia" w:hAnsi="宋体"/>
          <w:sz w:val="24"/>
          <w:highlight w:val="none"/>
        </w:rPr>
        <w:t>需要对标国外产品进行配方分析，</w:t>
      </w:r>
      <w:r>
        <w:rPr>
          <w:rFonts w:hint="eastAsia" w:hAnsi="宋体"/>
          <w:sz w:val="24"/>
          <w:highlight w:val="none"/>
          <w:lang w:val="en-US" w:eastAsia="zh-CN"/>
        </w:rPr>
        <w:t>确定主要成分及配比，开展</w:t>
      </w:r>
      <w:r>
        <w:rPr>
          <w:rFonts w:hint="eastAsia" w:hAnsi="宋体"/>
          <w:sz w:val="24"/>
          <w:highlight w:val="none"/>
        </w:rPr>
        <w:t>正向设计与开发</w:t>
      </w:r>
      <w:r>
        <w:rPr>
          <w:rFonts w:hint="eastAsia" w:hAnsi="宋体"/>
          <w:sz w:val="24"/>
          <w:highlight w:val="none"/>
          <w:lang w:eastAsia="zh-CN"/>
        </w:rPr>
        <w:t>、</w:t>
      </w:r>
      <w:r>
        <w:rPr>
          <w:rFonts w:hint="eastAsia" w:hAnsi="宋体"/>
          <w:sz w:val="24"/>
          <w:highlight w:val="none"/>
        </w:rPr>
        <w:t>国内成熟产品改进与对比验证等。</w:t>
      </w:r>
      <w:r>
        <w:rPr>
          <w:rFonts w:hint="eastAsia" w:hAnsi="宋体"/>
          <w:sz w:val="24"/>
          <w:highlight w:val="none"/>
          <w:lang w:val="en-US" w:eastAsia="zh-CN"/>
        </w:rPr>
        <w:t>在工艺适用性试验验证中，解决涂料</w:t>
      </w:r>
      <w:r>
        <w:rPr>
          <w:rFonts w:hint="eastAsia" w:hAnsi="宋体"/>
          <w:sz w:val="24"/>
          <w:highlight w:val="none"/>
        </w:rPr>
        <w:t>防护性</w:t>
      </w:r>
      <w:r>
        <w:rPr>
          <w:rFonts w:hint="eastAsia" w:hAnsi="宋体"/>
          <w:sz w:val="24"/>
          <w:highlight w:val="none"/>
          <w:lang w:eastAsia="zh-CN"/>
        </w:rPr>
        <w:t>（</w:t>
      </w:r>
      <w:r>
        <w:rPr>
          <w:rFonts w:hint="eastAsia" w:cs="黑体" w:asciiTheme="minorEastAsia" w:hAnsiTheme="minorEastAsia"/>
          <w:sz w:val="24"/>
          <w:szCs w:val="22"/>
          <w:highlight w:val="none"/>
          <w:lang w:val="en-US" w:eastAsia="zh-CN"/>
        </w:rPr>
        <w:t>6个月飞机室内和室外保护效果验证）、</w:t>
      </w:r>
      <w:r>
        <w:rPr>
          <w:rFonts w:hint="eastAsia" w:hAnsi="宋体"/>
          <w:sz w:val="24"/>
          <w:highlight w:val="none"/>
        </w:rPr>
        <w:t>涂料可去除性匹配</w:t>
      </w:r>
      <w:r>
        <w:rPr>
          <w:rFonts w:hint="eastAsia" w:cs="黑体" w:asciiTheme="minorEastAsia" w:hAnsiTheme="minorEastAsia"/>
          <w:sz w:val="24"/>
          <w:szCs w:val="22"/>
          <w:highlight w:val="none"/>
        </w:rPr>
        <w:t>技术</w:t>
      </w:r>
      <w:r>
        <w:rPr>
          <w:rFonts w:hint="eastAsia" w:cs="黑体" w:asciiTheme="minorEastAsia" w:hAnsiTheme="minorEastAsia"/>
          <w:sz w:val="24"/>
          <w:szCs w:val="22"/>
          <w:highlight w:val="none"/>
          <w:lang w:eastAsia="zh-CN"/>
        </w:rPr>
        <w:t>，</w:t>
      </w:r>
      <w:r>
        <w:rPr>
          <w:rFonts w:hint="eastAsia" w:cs="黑体" w:asciiTheme="minorEastAsia" w:hAnsiTheme="minorEastAsia"/>
          <w:sz w:val="24"/>
          <w:szCs w:val="22"/>
          <w:highlight w:val="none"/>
          <w:lang w:val="en-US" w:eastAsia="zh-CN"/>
        </w:rPr>
        <w:t>以及涂料与保护对象的兼容性等关键技术</w:t>
      </w:r>
      <w:r>
        <w:rPr>
          <w:rFonts w:hint="eastAsia" w:cs="黑体" w:asciiTheme="minorEastAsia" w:hAnsiTheme="minorEastAsia"/>
          <w:sz w:val="24"/>
          <w:szCs w:val="22"/>
          <w:highlight w:val="none"/>
          <w:lang w:eastAsia="zh-CN"/>
        </w:rPr>
        <w:t>。</w:t>
      </w:r>
    </w:p>
    <w:p w14:paraId="431FB4EB">
      <w:pPr>
        <w:keepNext w:val="0"/>
        <w:keepLines w:val="0"/>
        <w:pageBreakBefore w:val="0"/>
        <w:widowControl w:val="0"/>
        <w:numPr>
          <w:ilvl w:val="0"/>
          <w:numId w:val="0"/>
        </w:numPr>
        <w:kinsoku/>
        <w:wordWrap/>
        <w:overflowPunct/>
        <w:topLinePunct w:val="0"/>
        <w:autoSpaceDE/>
        <w:autoSpaceDN/>
        <w:bidi w:val="0"/>
        <w:snapToGrid w:val="0"/>
        <w:spacing w:line="240" w:lineRule="auto"/>
        <w:ind w:leftChars="200"/>
        <w:contextualSpacing/>
        <w:textAlignment w:val="auto"/>
        <w:rPr>
          <w:rFonts w:hint="eastAsia" w:ascii="宋体" w:hAnsi="宋体" w:eastAsia="宋体" w:cs="宋体"/>
          <w:b/>
          <w:sz w:val="24"/>
          <w:szCs w:val="22"/>
          <w:highlight w:val="none"/>
        </w:rPr>
      </w:pPr>
      <w:r>
        <w:rPr>
          <w:rFonts w:hint="eastAsia" w:ascii="宋体" w:hAnsi="宋体" w:eastAsia="宋体" w:cs="宋体"/>
          <w:b/>
          <w:sz w:val="24"/>
          <w:szCs w:val="22"/>
          <w:highlight w:val="none"/>
        </w:rPr>
        <w:t>研究结果的验证方式</w:t>
      </w:r>
    </w:p>
    <w:p w14:paraId="2625B139">
      <w:pPr>
        <w:keepNext w:val="0"/>
        <w:keepLines w:val="0"/>
        <w:pageBreakBefore w:val="0"/>
        <w:widowControl w:val="0"/>
        <w:kinsoku/>
        <w:wordWrap/>
        <w:overflowPunct/>
        <w:topLinePunct w:val="0"/>
        <w:autoSpaceDE/>
        <w:autoSpaceDN/>
        <w:bidi w:val="0"/>
        <w:snapToGrid w:val="0"/>
        <w:spacing w:line="240" w:lineRule="auto"/>
        <w:ind w:left="480"/>
        <w:contextualSpacing/>
        <w:textAlignment w:val="auto"/>
        <w:rPr>
          <w:rFonts w:hint="eastAsia" w:cs="黑体" w:asciiTheme="minorEastAsia" w:hAnsiTheme="minorEastAsia" w:eastAsiaTheme="minorEastAsia"/>
          <w:sz w:val="24"/>
          <w:szCs w:val="22"/>
          <w:highlight w:val="none"/>
          <w:lang w:eastAsia="zh-CN"/>
        </w:rPr>
      </w:pPr>
      <w:r>
        <w:rPr>
          <w:rFonts w:hint="eastAsia" w:cs="黑体" w:asciiTheme="minorEastAsia" w:hAnsiTheme="minorEastAsia"/>
          <w:sz w:val="24"/>
          <w:szCs w:val="22"/>
          <w:highlight w:val="none"/>
          <w:lang w:val="en-US" w:eastAsia="zh-CN"/>
        </w:rPr>
        <w:t>第三方理化性能测试报告与工艺适用性报告。</w:t>
      </w:r>
    </w:p>
    <w:p w14:paraId="558A7FAE">
      <w:pPr>
        <w:keepNext w:val="0"/>
        <w:keepLines w:val="0"/>
        <w:pageBreakBefore w:val="0"/>
        <w:widowControl w:val="0"/>
        <w:numPr>
          <w:ilvl w:val="0"/>
          <w:numId w:val="0"/>
        </w:numPr>
        <w:kinsoku/>
        <w:wordWrap/>
        <w:overflowPunct/>
        <w:topLinePunct w:val="0"/>
        <w:autoSpaceDE/>
        <w:autoSpaceDN/>
        <w:bidi w:val="0"/>
        <w:snapToGrid w:val="0"/>
        <w:spacing w:line="240" w:lineRule="auto"/>
        <w:ind w:leftChars="200"/>
        <w:contextualSpacing/>
        <w:textAlignment w:val="auto"/>
        <w:rPr>
          <w:rFonts w:hint="eastAsia" w:ascii="宋体" w:hAnsi="宋体" w:eastAsia="宋体" w:cs="宋体"/>
          <w:b/>
          <w:sz w:val="24"/>
          <w:szCs w:val="22"/>
          <w:highlight w:val="none"/>
        </w:rPr>
      </w:pPr>
      <w:r>
        <w:rPr>
          <w:rFonts w:hint="eastAsia" w:ascii="宋体" w:hAnsi="宋体" w:eastAsia="宋体" w:cs="宋体"/>
          <w:b/>
          <w:sz w:val="24"/>
          <w:szCs w:val="22"/>
          <w:highlight w:val="none"/>
        </w:rPr>
        <w:t>主要研究内容</w:t>
      </w:r>
    </w:p>
    <w:p w14:paraId="1F67689E">
      <w:pPr>
        <w:keepNext w:val="0"/>
        <w:keepLines w:val="0"/>
        <w:pageBreakBefore w:val="0"/>
        <w:widowControl w:val="0"/>
        <w:numPr>
          <w:ilvl w:val="0"/>
          <w:numId w:val="46"/>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涂料配方</w:t>
      </w:r>
      <w:r>
        <w:rPr>
          <w:rFonts w:hint="eastAsia" w:cs="黑体" w:asciiTheme="minorEastAsia" w:hAnsiTheme="minorEastAsia"/>
          <w:sz w:val="24"/>
          <w:szCs w:val="22"/>
          <w:highlight w:val="none"/>
          <w:lang w:eastAsia="zh-CN"/>
        </w:rPr>
        <w:t>研究</w:t>
      </w:r>
      <w:r>
        <w:rPr>
          <w:rFonts w:hint="eastAsia" w:cs="黑体" w:asciiTheme="minorEastAsia" w:hAnsiTheme="minorEastAsia"/>
          <w:sz w:val="24"/>
          <w:szCs w:val="22"/>
          <w:highlight w:val="none"/>
        </w:rPr>
        <w:t>；</w:t>
      </w:r>
    </w:p>
    <w:p w14:paraId="75876BA4">
      <w:pPr>
        <w:keepNext w:val="0"/>
        <w:keepLines w:val="0"/>
        <w:pageBreakBefore w:val="0"/>
        <w:widowControl w:val="0"/>
        <w:numPr>
          <w:ilvl w:val="0"/>
          <w:numId w:val="46"/>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涂料施工工艺研究；</w:t>
      </w:r>
    </w:p>
    <w:p w14:paraId="1F533D75">
      <w:pPr>
        <w:keepNext w:val="0"/>
        <w:keepLines w:val="0"/>
        <w:pageBreakBefore w:val="0"/>
        <w:widowControl w:val="0"/>
        <w:numPr>
          <w:ilvl w:val="0"/>
          <w:numId w:val="46"/>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涂料全面性能评价；</w:t>
      </w:r>
    </w:p>
    <w:p w14:paraId="003DCEF1">
      <w:pPr>
        <w:keepNext w:val="0"/>
        <w:keepLines w:val="0"/>
        <w:pageBreakBefore w:val="0"/>
        <w:widowControl w:val="0"/>
        <w:numPr>
          <w:ilvl w:val="0"/>
          <w:numId w:val="46"/>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涂料稳定性研究。</w:t>
      </w:r>
    </w:p>
    <w:p w14:paraId="4DAD1786">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247A4F64">
      <w:pPr>
        <w:keepNext w:val="0"/>
        <w:keepLines w:val="0"/>
        <w:pageBreakBefore w:val="0"/>
        <w:widowControl w:val="0"/>
        <w:numPr>
          <w:ilvl w:val="0"/>
          <w:numId w:val="47"/>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涂料研发总结报告；</w:t>
      </w:r>
    </w:p>
    <w:p w14:paraId="347D081D">
      <w:pPr>
        <w:keepNext w:val="0"/>
        <w:keepLines w:val="0"/>
        <w:pageBreakBefore w:val="0"/>
        <w:widowControl w:val="0"/>
        <w:numPr>
          <w:ilvl w:val="0"/>
          <w:numId w:val="47"/>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涂料施工工艺（企标）；</w:t>
      </w:r>
    </w:p>
    <w:p w14:paraId="50D5057B">
      <w:pPr>
        <w:keepNext w:val="0"/>
        <w:keepLines w:val="0"/>
        <w:pageBreakBefore w:val="0"/>
        <w:widowControl w:val="0"/>
        <w:numPr>
          <w:ilvl w:val="0"/>
          <w:numId w:val="47"/>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涂料性能检测报告；</w:t>
      </w:r>
    </w:p>
    <w:p w14:paraId="6DB18A7E">
      <w:pPr>
        <w:keepNext w:val="0"/>
        <w:keepLines w:val="0"/>
        <w:pageBreakBefore w:val="0"/>
        <w:widowControl w:val="0"/>
        <w:numPr>
          <w:ilvl w:val="0"/>
          <w:numId w:val="47"/>
        </w:numPr>
        <w:kinsoku/>
        <w:wordWrap/>
        <w:overflowPunct/>
        <w:topLinePunct w:val="0"/>
        <w:autoSpaceDE/>
        <w:autoSpaceDN/>
        <w:bidi w:val="0"/>
        <w:snapToGrid w:val="0"/>
        <w:spacing w:line="240" w:lineRule="auto"/>
        <w:ind w:left="0"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lang w:val="en-US" w:eastAsia="zh-CN"/>
        </w:rPr>
        <w:t>蒙皮临时防护</w:t>
      </w:r>
      <w:r>
        <w:rPr>
          <w:rFonts w:hint="eastAsia" w:cs="黑体" w:asciiTheme="minorEastAsia" w:hAnsiTheme="minorEastAsia"/>
          <w:sz w:val="24"/>
          <w:szCs w:val="22"/>
          <w:highlight w:val="none"/>
        </w:rPr>
        <w:t>涂料</w:t>
      </w:r>
      <w:r>
        <w:rPr>
          <w:rFonts w:hint="eastAsia" w:cs="黑体" w:asciiTheme="minorEastAsia" w:hAnsiTheme="minorEastAsia"/>
          <w:sz w:val="24"/>
          <w:szCs w:val="22"/>
          <w:highlight w:val="none"/>
          <w:lang w:val="en-US" w:eastAsia="zh-CN"/>
        </w:rPr>
        <w:t>及配套</w:t>
      </w:r>
      <w:r>
        <w:rPr>
          <w:rFonts w:hint="eastAsia" w:cs="黑体" w:asciiTheme="minorEastAsia" w:hAnsiTheme="minorEastAsia"/>
          <w:sz w:val="24"/>
          <w:szCs w:val="22"/>
          <w:highlight w:val="none"/>
        </w:rPr>
        <w:t>产品。</w:t>
      </w:r>
    </w:p>
    <w:p w14:paraId="153F2972">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34B91E42">
      <w:pPr>
        <w:keepNext w:val="0"/>
        <w:keepLines w:val="0"/>
        <w:pageBreakBefore w:val="0"/>
        <w:widowControl w:val="0"/>
        <w:kinsoku/>
        <w:wordWrap/>
        <w:overflowPunct/>
        <w:topLinePunct w:val="0"/>
        <w:autoSpaceDE/>
        <w:autoSpaceDN/>
        <w:bidi w:val="0"/>
        <w:snapToGrid w:val="0"/>
        <w:spacing w:line="240" w:lineRule="auto"/>
        <w:ind w:firstLine="480" w:firstLineChars="200"/>
        <w:contextualSpacing/>
        <w:textAlignment w:val="auto"/>
        <w:rPr>
          <w:rFonts w:hint="eastAsia" w:cs="黑体" w:asciiTheme="minorEastAsia" w:hAnsiTheme="minorEastAsia"/>
          <w:sz w:val="24"/>
          <w:szCs w:val="22"/>
          <w:highlight w:val="none"/>
        </w:rPr>
      </w:pPr>
      <w:r>
        <w:rPr>
          <w:rFonts w:hint="eastAsia" w:cs="黑体" w:asciiTheme="minorEastAsia" w:hAnsiTheme="minorEastAsia"/>
          <w:sz w:val="24"/>
          <w:szCs w:val="22"/>
          <w:highlight w:val="none"/>
        </w:rPr>
        <w:t>24个月。</w:t>
      </w:r>
    </w:p>
    <w:p w14:paraId="77B4FE47">
      <w:pPr>
        <w:keepNext w:val="0"/>
        <w:keepLines w:val="0"/>
        <w:pageBreakBefore w:val="0"/>
        <w:widowControl w:val="0"/>
        <w:numPr>
          <w:ilvl w:val="0"/>
          <w:numId w:val="45"/>
        </w:numPr>
        <w:kinsoku/>
        <w:wordWrap/>
        <w:overflowPunct/>
        <w:topLinePunct w:val="0"/>
        <w:autoSpaceDE/>
        <w:autoSpaceDN/>
        <w:bidi w:val="0"/>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6E992A94">
      <w:pPr>
        <w:pStyle w:val="8"/>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eastAsia="宋体" w:cs="宋体"/>
          <w:sz w:val="24"/>
          <w:szCs w:val="24"/>
          <w:highlight w:val="none"/>
          <w:lang w:val="en-US" w:eastAsia="zh-CN"/>
        </w:rPr>
      </w:pPr>
      <w:r>
        <w:rPr>
          <w:rFonts w:hint="eastAsia" w:cs="黑体" w:asciiTheme="minorEastAsia" w:hAnsiTheme="minorEastAsia"/>
          <w:sz w:val="24"/>
          <w:szCs w:val="22"/>
          <w:highlight w:val="none"/>
        </w:rPr>
        <w:t>50万元。</w:t>
      </w:r>
    </w:p>
    <w:p w14:paraId="55068F8E">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lang w:val="en-US" w:eastAsia="zh-CN"/>
        </w:rPr>
      </w:pPr>
    </w:p>
    <w:p w14:paraId="184E22B9">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lang w:val="en-US" w:eastAsia="zh-CN"/>
        </w:rPr>
        <w:sectPr>
          <w:pgSz w:w="11906" w:h="16838"/>
          <w:pgMar w:top="1440" w:right="1800" w:bottom="1440" w:left="1800" w:header="851" w:footer="992" w:gutter="0"/>
          <w:cols w:space="425" w:num="1"/>
          <w:docGrid w:type="lines" w:linePitch="312" w:charSpace="0"/>
        </w:sectPr>
      </w:pPr>
    </w:p>
    <w:p w14:paraId="5A327F73">
      <w:pPr>
        <w:pStyle w:val="2"/>
        <w:pageBreakBefore w:val="0"/>
        <w:kinsoku/>
        <w:wordWrap/>
        <w:overflowPunct/>
        <w:topLinePunct w:val="0"/>
        <w:autoSpaceDE/>
        <w:autoSpaceDN/>
        <w:bidi w:val="0"/>
        <w:adjustRightInd/>
        <w:spacing w:line="240" w:lineRule="auto"/>
        <w:rPr>
          <w:rFonts w:hint="eastAsia" w:eastAsia="宋体"/>
          <w:highlight w:val="none"/>
          <w:lang w:val="en-US" w:eastAsia="zh-CN"/>
        </w:rPr>
      </w:pPr>
      <w:bookmarkStart w:id="27" w:name="_Toc17689"/>
      <w:bookmarkStart w:id="28" w:name="_Toc4444"/>
      <w:r>
        <w:rPr>
          <w:rFonts w:hint="eastAsia" w:eastAsia="宋体"/>
          <w:highlight w:val="none"/>
          <w:lang w:val="en-US" w:eastAsia="zh-CN"/>
        </w:rPr>
        <w:t>面向商用飞机规模化生产的全球供应链网络建模与优化技术研究</w:t>
      </w:r>
      <w:bookmarkEnd w:id="27"/>
      <w:bookmarkEnd w:id="28"/>
    </w:p>
    <w:p w14:paraId="7BD7C6D7">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222277F9">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商用飞机制造涉及数百万个零部件的全球化采购和复杂集成，供应链中任何环节的中断都可能直接导致生产计划的延误、成本的增加甚至订单交付的失败。目前，受国际局势、地缘政治、逆全球化等因素的影响，我国商用飞机供应链暴露出物流效率低、动态适应性差和抗风险能力不足等问题，已成为制约行业迈向规模化生产与国际化发展的关键瓶颈。此外，供应链网络内的多要素（如供应商、物流节点、运输路径等）耦合交互，牵一发动全身，加剧了供应链管理优化的难度。因此，构建高效、柔</w:t>
      </w:r>
      <w:r>
        <w:rPr>
          <w:rFonts w:hint="eastAsia" w:ascii="宋体" w:hAnsi="宋体" w:eastAsia="宋体" w:cs="宋体"/>
          <w:color w:val="000000" w:themeColor="text1"/>
          <w:sz w:val="24"/>
          <w:szCs w:val="24"/>
          <w:highlight w:val="none"/>
          <w14:textFill>
            <w14:solidFill>
              <w14:schemeClr w14:val="tx1"/>
            </w14:solidFill>
          </w14:textFill>
        </w:rPr>
        <w:t>性和韧性的供应链网络，保障生产流程的连续性，是确保中国商用飞机制造业实现规模化生产、高质量发</w:t>
      </w:r>
      <w:r>
        <w:rPr>
          <w:rFonts w:hint="eastAsia" w:ascii="宋体" w:hAnsi="宋体" w:eastAsia="宋体" w:cs="宋体"/>
          <w:color w:val="000000"/>
          <w:sz w:val="24"/>
          <w:szCs w:val="24"/>
          <w:highlight w:val="none"/>
        </w:rPr>
        <w:t>展的重要基础，也是提升其国际竞争力的关键所在。</w:t>
      </w:r>
    </w:p>
    <w:p w14:paraId="1AF06239">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482AF8BE">
      <w:pPr>
        <w:keepNext w:val="0"/>
        <w:keepLines w:val="0"/>
        <w:pageBreakBefore w:val="0"/>
        <w:widowControl w:val="0"/>
        <w:kinsoku/>
        <w:wordWrap/>
        <w:overflowPunct/>
        <w:topLinePunct w:val="0"/>
        <w:autoSpaceDE/>
        <w:autoSpaceDN/>
        <w:bidi w:val="0"/>
        <w:adjustRightInd/>
        <w:snapToGrid/>
        <w:spacing w:line="240" w:lineRule="auto"/>
        <w:ind w:left="36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工业工程</w:t>
      </w:r>
    </w:p>
    <w:p w14:paraId="3BFDAAE7">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3D7974B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highlight w:val="none"/>
        </w:rPr>
      </w:pPr>
      <w:r>
        <w:rPr>
          <w:rFonts w:hint="eastAsia" w:ascii="宋体" w:hAnsi="宋体" w:eastAsia="宋体" w:cs="宋体"/>
          <w:b/>
          <w:sz w:val="24"/>
          <w:szCs w:val="24"/>
          <w:highlight w:val="none"/>
        </w:rPr>
        <w:t>项目目标：</w:t>
      </w:r>
      <w:r>
        <w:rPr>
          <w:rFonts w:hint="eastAsia" w:ascii="宋体" w:hAnsi="宋体" w:eastAsia="宋体" w:cs="宋体"/>
          <w:color w:val="000000"/>
          <w:sz w:val="24"/>
          <w:szCs w:val="24"/>
          <w:highlight w:val="none"/>
        </w:rPr>
        <w:t xml:space="preserve"> </w:t>
      </w:r>
    </w:p>
    <w:p w14:paraId="4AE7633C">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旨在从系统角度，提出中国商用飞机全球供应链建模、评估与优化技术，助力形成高效、柔性、韧性的供应链体系，通过多业融合、多式联运、多方协同，促进行业数字化、智能化、网络化、绿色化、国际化发展。首先，建立多层次的商用飞机全球供应链网络模型，揭示供应商、物流节点及制造基地之间的复杂影响关系。其次，从供应链柔性、韧性，构建涵盖物流效率、效益、绩效等多维度供应链评估指标体系，为优化提供定量依据。最后，识别飞机供应链网络的关键影响因素和脆弱环节，构建面向商用飞机供应链的优化技术，为实现成本低、效率高、韧性强的供应链提供支撑。</w:t>
      </w:r>
    </w:p>
    <w:p w14:paraId="38EC86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275743C8">
      <w:pPr>
        <w:keepNext w:val="0"/>
        <w:keepLines w:val="0"/>
        <w:pageBreakBefore w:val="0"/>
        <w:widowControl w:val="0"/>
        <w:numPr>
          <w:ilvl w:val="0"/>
          <w:numId w:val="49"/>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提出不少于1种商用飞机全球供应链网络建模方法；</w:t>
      </w:r>
    </w:p>
    <w:p w14:paraId="1BDAD5DC">
      <w:pPr>
        <w:keepNext w:val="0"/>
        <w:keepLines w:val="0"/>
        <w:pageBreakBefore w:val="0"/>
        <w:widowControl w:val="0"/>
        <w:numPr>
          <w:ilvl w:val="0"/>
          <w:numId w:val="49"/>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建立不少于2种面向商用飞机制造业的供应链效能评估方法；</w:t>
      </w:r>
    </w:p>
    <w:p w14:paraId="3B03B50C">
      <w:pPr>
        <w:keepNext w:val="0"/>
        <w:keepLines w:val="0"/>
        <w:pageBreakBefore w:val="0"/>
        <w:widowControl w:val="0"/>
        <w:numPr>
          <w:ilvl w:val="0"/>
          <w:numId w:val="49"/>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建立不少于3种商用飞机全球供应链网络关键要素与脆弱环节识别算法；</w:t>
      </w:r>
    </w:p>
    <w:p w14:paraId="19D25638">
      <w:pPr>
        <w:keepNext w:val="0"/>
        <w:keepLines w:val="0"/>
        <w:pageBreakBefore w:val="0"/>
        <w:widowControl w:val="0"/>
        <w:numPr>
          <w:ilvl w:val="0"/>
          <w:numId w:val="49"/>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构建不少于2种面向商用飞机规模化生产的供应链网络柔性提升与韧性增强的优化技术。</w:t>
      </w:r>
    </w:p>
    <w:p w14:paraId="6D64499C">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033D41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拟解决的关键技术</w:t>
      </w:r>
    </w:p>
    <w:p w14:paraId="2149978D">
      <w:pPr>
        <w:keepNext w:val="0"/>
        <w:keepLines w:val="0"/>
        <w:pageBreakBefore w:val="0"/>
        <w:widowControl w:val="0"/>
        <w:numPr>
          <w:ilvl w:val="0"/>
          <w:numId w:val="50"/>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bookmarkStart w:id="29" w:name="_Hlk197640443"/>
      <w:r>
        <w:rPr>
          <w:rFonts w:hint="eastAsia" w:ascii="宋体" w:hAnsi="宋体" w:eastAsia="宋体" w:cs="宋体"/>
          <w:bCs/>
          <w:sz w:val="24"/>
          <w:szCs w:val="24"/>
          <w:highlight w:val="none"/>
          <w:lang w:val="en-US" w:eastAsia="zh-CN"/>
        </w:rPr>
        <w:t>商用飞机供应链网络模型构建技术</w:t>
      </w:r>
    </w:p>
    <w:p w14:paraId="1DD3FA05">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用系统科学与复杂网络理论，综合考虑全球供应商、物流节点与制造基地之间的空间分布、功能分级、资源流动等关键要素，探究供应链要素间的复杂影响关系及层次结构，构建多层次、多维度的商用飞机全球供应链网络模型，支撑供应链网络的运行模拟与优化分析。</w:t>
      </w:r>
    </w:p>
    <w:p w14:paraId="39C33E6D">
      <w:pPr>
        <w:keepNext w:val="0"/>
        <w:keepLines w:val="0"/>
        <w:pageBreakBefore w:val="0"/>
        <w:widowControl w:val="0"/>
        <w:numPr>
          <w:ilvl w:val="0"/>
          <w:numId w:val="50"/>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商用飞机供应链网络效能评估技术</w:t>
      </w:r>
    </w:p>
    <w:p w14:paraId="2EB1530E">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针对商用飞机供应链体系复杂导致的效能难评估问题，基于大数据分析与系统动力学方法，设计覆盖成本、时效、柔性和韧性等多维度特征信息的评估体系与评估方法，</w:t>
      </w:r>
      <w:r>
        <w:rPr>
          <w:rFonts w:hint="eastAsia" w:ascii="宋体" w:hAnsi="宋体" w:cs="宋体"/>
          <w:color w:val="000000" w:themeColor="text1"/>
          <w:sz w:val="24"/>
          <w:szCs w:val="24"/>
          <w:highlight w:val="none"/>
          <w:lang w:eastAsia="zh-CN"/>
          <w14:textFill>
            <w14:solidFill>
              <w14:schemeClr w14:val="tx1"/>
            </w14:solidFill>
          </w14:textFill>
        </w:rPr>
        <w:t>技术成熟度达到</w:t>
      </w:r>
      <w:r>
        <w:rPr>
          <w:rFonts w:hint="eastAsia" w:ascii="宋体" w:hAnsi="宋体" w:cs="宋体"/>
          <w:color w:val="000000" w:themeColor="text1"/>
          <w:sz w:val="24"/>
          <w:szCs w:val="24"/>
          <w:highlight w:val="none"/>
          <w:lang w:val="en-US" w:eastAsia="zh-CN"/>
          <w14:textFill>
            <w14:solidFill>
              <w14:schemeClr w14:val="tx1"/>
            </w14:solidFill>
          </w14:textFill>
        </w:rPr>
        <w:t>TRL6级，</w:t>
      </w:r>
      <w:r>
        <w:rPr>
          <w:rFonts w:hint="eastAsia" w:ascii="宋体" w:hAnsi="宋体" w:eastAsia="宋体" w:cs="宋体"/>
          <w:color w:val="000000" w:themeColor="text1"/>
          <w:sz w:val="24"/>
          <w:szCs w:val="24"/>
          <w:highlight w:val="none"/>
          <w14:textFill>
            <w14:solidFill>
              <w14:schemeClr w14:val="tx1"/>
            </w14:solidFill>
          </w14:textFill>
        </w:rPr>
        <w:t>实现对</w:t>
      </w:r>
      <w:r>
        <w:rPr>
          <w:rFonts w:hint="eastAsia" w:ascii="宋体" w:hAnsi="宋体" w:cs="宋体"/>
          <w:color w:val="000000" w:themeColor="text1"/>
          <w:sz w:val="24"/>
          <w:szCs w:val="24"/>
          <w:highlight w:val="none"/>
          <w:lang w:eastAsia="zh-CN"/>
          <w14:textFill>
            <w14:solidFill>
              <w14:schemeClr w14:val="tx1"/>
            </w14:solidFill>
          </w14:textFill>
        </w:rPr>
        <w:t>组织机制、运营管理、韧性安全等方面的现状剖析与评估</w:t>
      </w:r>
      <w:r>
        <w:rPr>
          <w:rFonts w:hint="eastAsia" w:ascii="宋体" w:hAnsi="宋体" w:eastAsia="宋体" w:cs="宋体"/>
          <w:color w:val="000000" w:themeColor="text1"/>
          <w:sz w:val="24"/>
          <w:szCs w:val="24"/>
          <w:highlight w:val="none"/>
          <w14:textFill>
            <w14:solidFill>
              <w14:schemeClr w14:val="tx1"/>
            </w14:solidFill>
          </w14:textFill>
        </w:rPr>
        <w:t>，为多角度比较、优化商用飞机供应链提供定量标准与测度基础。</w:t>
      </w:r>
    </w:p>
    <w:p w14:paraId="47CB70CD">
      <w:pPr>
        <w:keepNext w:val="0"/>
        <w:keepLines w:val="0"/>
        <w:pageBreakBefore w:val="0"/>
        <w:widowControl w:val="0"/>
        <w:numPr>
          <w:ilvl w:val="0"/>
          <w:numId w:val="50"/>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商用飞机供应链网络关键要素识别技术</w:t>
      </w:r>
    </w:p>
    <w:p w14:paraId="3B7722D9">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运用因果关系分析、复杂网络等方法，综合考虑系统各要素间的复杂影响关系，提出商用飞机供应链网络关键要素识别技术，从供应商能力、物流节点布局、运输路径设计、需求波动等多角度，挖掘影响供应链运行效率、柔性和韧性的关键要素或脆弱环节，为商用飞机全球供应链优化与协同效能提升提供技术方案。</w:t>
      </w:r>
    </w:p>
    <w:p w14:paraId="7F52D5CD">
      <w:pPr>
        <w:keepNext w:val="0"/>
        <w:keepLines w:val="0"/>
        <w:pageBreakBefore w:val="0"/>
        <w:widowControl w:val="0"/>
        <w:numPr>
          <w:ilvl w:val="0"/>
          <w:numId w:val="50"/>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商用飞机供应链网络优化技术</w:t>
      </w:r>
    </w:p>
    <w:bookmarkEnd w:id="29"/>
    <w:p w14:paraId="7922C8B7">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于供应链网络模型与效能评估框架，融合大数据、人工智能和优化算法，探索在多场景、多扰动条件下供应链效能及其演化态势，综合考虑成本、时效性、柔性、韧性等多维度约束，构建商用飞机全球供应链网络优化技术，为实现商用飞机规模化生产的低成本、高效率、强韧性供应链方案提供技术支撑。</w:t>
      </w:r>
    </w:p>
    <w:p w14:paraId="7B3937C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p w14:paraId="78B4789A">
      <w:pPr>
        <w:keepNext w:val="0"/>
        <w:keepLines w:val="0"/>
        <w:pageBreakBefore w:val="0"/>
        <w:widowControl w:val="0"/>
        <w:kinsoku/>
        <w:wordWrap/>
        <w:overflowPunct/>
        <w:topLinePunct w:val="0"/>
        <w:autoSpaceDE/>
        <w:autoSpaceDN/>
        <w:bidi w:val="0"/>
        <w:adjustRightInd/>
        <w:snapToGrid/>
        <w:spacing w:line="240" w:lineRule="auto"/>
        <w:ind w:left="480" w:left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通过数据分析案例研究与仿真模拟验证所提技术的有效性。</w:t>
      </w:r>
    </w:p>
    <w:p w14:paraId="5D4E3F26">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231FB3A0">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制定团体标准1项；</w:t>
      </w:r>
    </w:p>
    <w:p w14:paraId="0CB9DAC7">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申请</w:t>
      </w:r>
      <w:r>
        <w:rPr>
          <w:rFonts w:hint="eastAsia" w:ascii="宋体" w:hAnsi="宋体" w:cs="宋体"/>
          <w:bCs/>
          <w:sz w:val="24"/>
          <w:szCs w:val="24"/>
          <w:highlight w:val="none"/>
          <w:lang w:val="en-US" w:eastAsia="zh-CN"/>
        </w:rPr>
        <w:t>发明</w:t>
      </w:r>
      <w:r>
        <w:rPr>
          <w:rFonts w:hint="eastAsia" w:ascii="宋体" w:hAnsi="宋体" w:eastAsia="宋体" w:cs="宋体"/>
          <w:bCs/>
          <w:sz w:val="24"/>
          <w:szCs w:val="24"/>
          <w:highlight w:val="none"/>
          <w:lang w:val="en-US" w:eastAsia="zh-CN"/>
        </w:rPr>
        <w:t>专利1项；</w:t>
      </w:r>
    </w:p>
    <w:p w14:paraId="4869EA73">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提供</w:t>
      </w:r>
      <w:r>
        <w:rPr>
          <w:rFonts w:hint="eastAsia" w:ascii="宋体" w:hAnsi="宋体" w:eastAsia="宋体" w:cs="宋体"/>
          <w:bCs/>
          <w:sz w:val="24"/>
          <w:szCs w:val="24"/>
          <w:highlight w:val="none"/>
          <w:lang w:val="en-US" w:eastAsia="zh-CN"/>
        </w:rPr>
        <w:t>商用飞机供应链</w:t>
      </w:r>
      <w:r>
        <w:rPr>
          <w:rFonts w:hint="eastAsia" w:ascii="宋体" w:hAnsi="宋体" w:cs="宋体"/>
          <w:bCs/>
          <w:sz w:val="24"/>
          <w:szCs w:val="24"/>
          <w:highlight w:val="none"/>
          <w:lang w:val="en-US" w:eastAsia="zh-CN"/>
        </w:rPr>
        <w:t>评估与</w:t>
      </w:r>
      <w:r>
        <w:rPr>
          <w:rFonts w:hint="eastAsia" w:ascii="宋体" w:hAnsi="宋体" w:eastAsia="宋体" w:cs="宋体"/>
          <w:bCs/>
          <w:sz w:val="24"/>
          <w:szCs w:val="24"/>
          <w:highlight w:val="none"/>
          <w:lang w:val="en-US" w:eastAsia="zh-CN"/>
        </w:rPr>
        <w:t>优化</w:t>
      </w:r>
      <w:r>
        <w:rPr>
          <w:rFonts w:hint="eastAsia" w:ascii="宋体" w:hAnsi="宋体" w:cs="宋体"/>
          <w:bCs/>
          <w:sz w:val="24"/>
          <w:szCs w:val="24"/>
          <w:highlight w:val="none"/>
          <w:lang w:val="en-US" w:eastAsia="zh-CN"/>
        </w:rPr>
        <w:t>相关</w:t>
      </w:r>
      <w:r>
        <w:rPr>
          <w:rFonts w:hint="eastAsia" w:ascii="宋体" w:hAnsi="宋体" w:eastAsia="宋体" w:cs="宋体"/>
          <w:bCs/>
          <w:sz w:val="24"/>
          <w:szCs w:val="24"/>
          <w:highlight w:val="none"/>
          <w:lang w:val="en-US" w:eastAsia="zh-CN"/>
        </w:rPr>
        <w:t>决策模型</w:t>
      </w:r>
      <w:r>
        <w:rPr>
          <w:rFonts w:hint="eastAsia" w:ascii="宋体" w:hAnsi="宋体" w:cs="宋体"/>
          <w:bCs/>
          <w:sz w:val="24"/>
          <w:szCs w:val="24"/>
          <w:highlight w:val="none"/>
          <w:lang w:val="en-US" w:eastAsia="zh-CN"/>
        </w:rPr>
        <w:t>代码</w:t>
      </w:r>
      <w:r>
        <w:rPr>
          <w:rFonts w:hint="eastAsia" w:ascii="宋体" w:hAnsi="宋体" w:eastAsia="宋体" w:cs="宋体"/>
          <w:bCs/>
          <w:sz w:val="24"/>
          <w:szCs w:val="24"/>
          <w:highlight w:val="none"/>
          <w:lang w:val="en-US" w:eastAsia="zh-CN"/>
        </w:rPr>
        <w:t>2</w:t>
      </w:r>
      <w:r>
        <w:rPr>
          <w:rFonts w:hint="eastAsia" w:ascii="宋体" w:hAnsi="宋体" w:cs="宋体"/>
          <w:bCs/>
          <w:sz w:val="24"/>
          <w:szCs w:val="24"/>
          <w:highlight w:val="none"/>
          <w:lang w:val="en-US" w:eastAsia="zh-CN"/>
        </w:rPr>
        <w:t>套</w:t>
      </w:r>
      <w:r>
        <w:rPr>
          <w:rFonts w:hint="eastAsia" w:ascii="宋体" w:hAnsi="宋体" w:eastAsia="宋体" w:cs="宋体"/>
          <w:bCs/>
          <w:sz w:val="24"/>
          <w:szCs w:val="24"/>
          <w:highlight w:val="none"/>
          <w:lang w:val="en-US" w:eastAsia="zh-CN"/>
        </w:rPr>
        <w:t>；</w:t>
      </w:r>
    </w:p>
    <w:p w14:paraId="42F12E0C">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撰写高水平学术论文2篇；</w:t>
      </w:r>
    </w:p>
    <w:p w14:paraId="4055FB6D">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形成《商用飞机全球供应链网络建模与优化技术研究报告》2篇，涵盖供应链建模、评估与优化等关键技术成果；</w:t>
      </w:r>
    </w:p>
    <w:p w14:paraId="502DAB3E">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完成《商用飞机供应链案例分析报告》1篇；</w:t>
      </w:r>
    </w:p>
    <w:p w14:paraId="4B2E4B15">
      <w:pPr>
        <w:keepNext w:val="0"/>
        <w:keepLines w:val="0"/>
        <w:pageBreakBefore w:val="0"/>
        <w:widowControl w:val="0"/>
        <w:numPr>
          <w:ilvl w:val="0"/>
          <w:numId w:val="51"/>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提供可推广的《商用飞机制造业全球供应链优化技术指南》1套。</w:t>
      </w:r>
    </w:p>
    <w:p w14:paraId="61A599D3">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w:t>
      </w:r>
    </w:p>
    <w:p w14:paraId="75062A7A">
      <w:pPr>
        <w:keepNext w:val="0"/>
        <w:keepLines w:val="0"/>
        <w:pageBreakBefore w:val="0"/>
        <w:widowControl w:val="0"/>
        <w:kinsoku/>
        <w:wordWrap/>
        <w:overflowPunct/>
        <w:topLinePunct w:val="0"/>
        <w:autoSpaceDE/>
        <w:autoSpaceDN/>
        <w:bidi w:val="0"/>
        <w:adjustRightInd/>
        <w:snapToGrid/>
        <w:spacing w:line="240" w:lineRule="auto"/>
        <w:ind w:left="36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24个月</w:t>
      </w:r>
    </w:p>
    <w:p w14:paraId="09BB12CD">
      <w:pPr>
        <w:keepNext w:val="0"/>
        <w:keepLines w:val="0"/>
        <w:pageBreakBefore w:val="0"/>
        <w:widowControl w:val="0"/>
        <w:numPr>
          <w:ilvl w:val="0"/>
          <w:numId w:val="48"/>
        </w:numPr>
        <w:kinsoku/>
        <w:wordWrap/>
        <w:overflowPunct/>
        <w:topLinePunct w:val="0"/>
        <w:autoSpaceDE/>
        <w:autoSpaceDN/>
        <w:bidi w:val="0"/>
        <w:adjustRightInd/>
        <w:snapToGrid/>
        <w:spacing w:line="240" w:lineRule="auto"/>
        <w:ind w:left="425" w:leftChars="0" w:hanging="425"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6FB7B79A">
      <w:pPr>
        <w:keepNext w:val="0"/>
        <w:keepLines w:val="0"/>
        <w:pageBreakBefore w:val="0"/>
        <w:widowControl w:val="0"/>
        <w:kinsoku/>
        <w:wordWrap/>
        <w:overflowPunct/>
        <w:topLinePunct w:val="0"/>
        <w:autoSpaceDE/>
        <w:autoSpaceDN/>
        <w:bidi w:val="0"/>
        <w:adjustRightInd/>
        <w:snapToGrid/>
        <w:spacing w:line="240" w:lineRule="auto"/>
        <w:ind w:left="36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50万元。</w:t>
      </w:r>
    </w:p>
    <w:p w14:paraId="729D8E99">
      <w:pPr>
        <w:pStyle w:val="8"/>
        <w:pageBreakBefore w:val="0"/>
        <w:kinsoku/>
        <w:wordWrap/>
        <w:overflowPunct/>
        <w:topLinePunct w:val="0"/>
        <w:autoSpaceDE/>
        <w:autoSpaceDN/>
        <w:bidi w:val="0"/>
        <w:adjustRightInd/>
        <w:spacing w:line="240" w:lineRule="auto"/>
        <w:jc w:val="left"/>
        <w:rPr>
          <w:rFonts w:hint="eastAsia" w:ascii="宋体" w:hAnsi="宋体" w:eastAsia="宋体" w:cs="宋体"/>
          <w:color w:val="000000"/>
          <w:sz w:val="24"/>
          <w:szCs w:val="24"/>
          <w:highlight w:val="none"/>
        </w:rPr>
      </w:pPr>
    </w:p>
    <w:p w14:paraId="7D224A4D">
      <w:pPr>
        <w:pStyle w:val="2"/>
        <w:pageBreakBefore w:val="0"/>
        <w:numPr>
          <w:ilvl w:val="0"/>
          <w:numId w:val="0"/>
        </w:numPr>
        <w:kinsoku/>
        <w:wordWrap/>
        <w:overflowPunct/>
        <w:topLinePunct w:val="0"/>
        <w:autoSpaceDE/>
        <w:autoSpaceDN/>
        <w:bidi w:val="0"/>
        <w:adjustRightInd/>
        <w:spacing w:line="240" w:lineRule="auto"/>
        <w:ind w:leftChars="200"/>
        <w:jc w:val="both"/>
        <w:rPr>
          <w:rFonts w:hint="eastAsia" w:eastAsia="宋体"/>
          <w:highlight w:val="none"/>
          <w:lang w:val="en-US" w:eastAsia="zh-CN"/>
        </w:rPr>
        <w:sectPr>
          <w:footerReference r:id="rId7" w:type="default"/>
          <w:pgSz w:w="11906" w:h="16838"/>
          <w:pgMar w:top="1440" w:right="1800" w:bottom="1440" w:left="1800" w:header="851" w:footer="992" w:gutter="0"/>
          <w:pgNumType w:start="1"/>
          <w:cols w:space="425" w:num="1"/>
          <w:docGrid w:type="lines" w:linePitch="312" w:charSpace="0"/>
        </w:sectPr>
      </w:pPr>
    </w:p>
    <w:p w14:paraId="341D7CA8">
      <w:pPr>
        <w:pStyle w:val="2"/>
        <w:pageBreakBefore w:val="0"/>
        <w:kinsoku/>
        <w:wordWrap/>
        <w:overflowPunct/>
        <w:topLinePunct w:val="0"/>
        <w:autoSpaceDE/>
        <w:autoSpaceDN/>
        <w:bidi w:val="0"/>
        <w:adjustRightInd/>
        <w:spacing w:line="240" w:lineRule="auto"/>
        <w:rPr>
          <w:rFonts w:hint="eastAsia" w:eastAsia="宋体"/>
          <w:highlight w:val="none"/>
          <w:lang w:val="en-US" w:eastAsia="zh-CN"/>
        </w:rPr>
      </w:pPr>
      <w:bookmarkStart w:id="30" w:name="_Toc27256"/>
      <w:r>
        <w:rPr>
          <w:rFonts w:hint="eastAsia"/>
          <w:highlight w:val="none"/>
          <w:lang w:val="en-US" w:eastAsia="zh-CN"/>
        </w:rPr>
        <w:t>飞机装配人员作业助力服设计及人机工效评估方法研究</w:t>
      </w:r>
      <w:bookmarkEnd w:id="30"/>
    </w:p>
    <w:p w14:paraId="7BD9D8AA">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672BD4D2">
      <w:pPr>
        <w:pageBreakBefore w:val="0"/>
        <w:kinsoku/>
        <w:wordWrap/>
        <w:overflowPunct/>
        <w:topLinePunct w:val="0"/>
        <w:autoSpaceDE/>
        <w:autoSpaceDN/>
        <w:bidi w:val="0"/>
        <w:adjustRightInd/>
        <w:spacing w:line="240" w:lineRule="auto"/>
        <w:ind w:left="360"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随着航空运输业务持续增长，飞机制造业面临降本增效与产能提升双重需求。当前飞机装配高度依赖人工作业，工人易因长期上肢举升、固定姿势发力等不利姿态引发肌肉骨骼慢性疾病，影响作业安全与生产效率。上肢作业助力服作为可穿戴辅助设备，已在国外航空制造企业中验证能够降低作业负荷与疲劳风险。然而受制于技术封锁与采购成本，亟需国产化解决方案。现有国内产品存在自重高、辅助期短、功能单一等缺陷，难以兼顾飞机装配动态作业助力与静态姿势支撑需求，可用性不足。因此，需针对飞机装配典型场景研制轻量化上肢助力作业服，以此构建基于上肢助力作业服的人机工效评价标准，为助力服的后续选型、采购与应用提供科学评估手段与决策支撑。</w:t>
      </w:r>
    </w:p>
    <w:p w14:paraId="54FC7D61">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07C847B3">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outlineLvl w:val="9"/>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工业工程</w:t>
      </w:r>
    </w:p>
    <w:p w14:paraId="5DB4131C">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3A71F656">
      <w:pPr>
        <w:pageBreakBefore w:val="0"/>
        <w:kinsoku/>
        <w:wordWrap/>
        <w:overflowPunct/>
        <w:topLinePunct w:val="0"/>
        <w:autoSpaceDE/>
        <w:autoSpaceDN/>
        <w:bidi w:val="0"/>
        <w:adjustRightInd/>
        <w:spacing w:line="240" w:lineRule="auto"/>
        <w:ind w:firstLine="480" w:firstLineChars="200"/>
        <w:rPr>
          <w:rFonts w:hint="eastAsia" w:ascii="宋体" w:hAnsi="宋体" w:eastAsia="宋体" w:cs="宋体"/>
          <w:b/>
          <w:bCs/>
          <w:color w:val="FF0000"/>
          <w:sz w:val="24"/>
          <w:szCs w:val="24"/>
          <w:highlight w:val="none"/>
        </w:rPr>
      </w:pPr>
      <w:r>
        <w:rPr>
          <w:rFonts w:hint="eastAsia" w:ascii="宋体" w:hAnsi="宋体" w:eastAsia="宋体" w:cs="宋体"/>
          <w:b/>
          <w:bCs/>
          <w:sz w:val="24"/>
          <w:szCs w:val="24"/>
          <w:highlight w:val="none"/>
        </w:rPr>
        <w:t>项目目标：</w:t>
      </w:r>
      <w:r>
        <w:rPr>
          <w:rFonts w:hint="eastAsia" w:ascii="宋体" w:hAnsi="宋体" w:eastAsia="宋体" w:cs="宋体"/>
          <w:b/>
          <w:bCs/>
          <w:color w:val="FF0000"/>
          <w:sz w:val="24"/>
          <w:szCs w:val="24"/>
          <w:highlight w:val="none"/>
        </w:rPr>
        <w:t xml:space="preserve"> </w:t>
      </w:r>
    </w:p>
    <w:p w14:paraId="5DFF93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面向飞机装配典型场景，分析作业人员助力需求，研制轻量化上肢作业助力服，构建人机工效评价方法与指标体系。围绕作业空间受限、人员身材差异及活动范围兼容等核心需求，设计人机兼容仿生上肢传动结构；结合作业人员上肢装配动作特点，研发融合动态助力与静态支撑的助力服驱动机构；针对当前飞机装配领域助力服应用实例匮乏、评估标准缺失问题，构建涵盖生理指标、生物力学参数、运动学特征及主观体验的人机工效评估体系。</w:t>
      </w:r>
    </w:p>
    <w:p w14:paraId="0C9C877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技术指标：</w:t>
      </w:r>
    </w:p>
    <w:p w14:paraId="13C924E5">
      <w:pPr>
        <w:keepNext w:val="0"/>
        <w:keepLines w:val="0"/>
        <w:pageBreakBefore w:val="0"/>
        <w:widowControl w:val="0"/>
        <w:numPr>
          <w:ilvl w:val="0"/>
          <w:numId w:val="53"/>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助力服总重（含电池）≤</w:t>
      </w:r>
      <w:r>
        <w:rPr>
          <w:rFonts w:ascii="宋体" w:hAnsi="宋体" w:cs="宋体"/>
          <w:szCs w:val="24"/>
          <w:highlight w:val="none"/>
        </w:rPr>
        <w:t>3</w:t>
      </w:r>
      <w:r>
        <w:rPr>
          <w:rFonts w:hint="eastAsia" w:ascii="宋体" w:hAnsi="宋体" w:cs="宋体"/>
          <w:szCs w:val="24"/>
          <w:highlight w:val="none"/>
        </w:rPr>
        <w:t>kg，适配身高160-190cm、体重60-90kg人群；</w:t>
      </w:r>
    </w:p>
    <w:p w14:paraId="5E263C03">
      <w:pPr>
        <w:keepNext w:val="0"/>
        <w:keepLines w:val="0"/>
        <w:pageBreakBefore w:val="0"/>
        <w:widowControl w:val="0"/>
        <w:numPr>
          <w:ilvl w:val="0"/>
          <w:numId w:val="53"/>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助力服可辅助搬运零件工具、高位制孔铆接、客舱</w:t>
      </w:r>
      <w:r>
        <w:rPr>
          <w:rFonts w:ascii="宋体" w:hAnsi="宋体" w:cs="宋体"/>
          <w:szCs w:val="24"/>
          <w:highlight w:val="none"/>
        </w:rPr>
        <w:t>内饰安装</w:t>
      </w:r>
      <w:r>
        <w:rPr>
          <w:rFonts w:hint="eastAsia" w:ascii="宋体" w:hAnsi="宋体" w:cs="宋体"/>
          <w:szCs w:val="24"/>
          <w:highlight w:val="none"/>
        </w:rPr>
        <w:t>等≥3种飞机装配任务；</w:t>
      </w:r>
    </w:p>
    <w:p w14:paraId="5C47B6B7">
      <w:pPr>
        <w:keepNext w:val="0"/>
        <w:keepLines w:val="0"/>
        <w:pageBreakBefore w:val="0"/>
        <w:widowControl w:val="0"/>
        <w:numPr>
          <w:ilvl w:val="0"/>
          <w:numId w:val="53"/>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助力服峰值力矩≥12Nm，助力时机覆盖上肢运动范围40%以上；</w:t>
      </w:r>
    </w:p>
    <w:p w14:paraId="762020A9">
      <w:pPr>
        <w:keepNext w:val="0"/>
        <w:keepLines w:val="0"/>
        <w:pageBreakBefore w:val="0"/>
        <w:widowControl w:val="0"/>
        <w:numPr>
          <w:ilvl w:val="0"/>
          <w:numId w:val="53"/>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上肢动态举升作业助力服降低肌肉激活百分比≥20%，上肢固定姿势作业降低肌肉激活百分比≥</w:t>
      </w:r>
      <w:r>
        <w:rPr>
          <w:rFonts w:ascii="宋体" w:hAnsi="宋体" w:cs="宋体"/>
          <w:szCs w:val="24"/>
          <w:highlight w:val="none"/>
        </w:rPr>
        <w:t>4</w:t>
      </w:r>
      <w:r>
        <w:rPr>
          <w:rFonts w:hint="eastAsia" w:ascii="宋体" w:hAnsi="宋体" w:cs="宋体"/>
          <w:szCs w:val="24"/>
          <w:highlight w:val="none"/>
        </w:rPr>
        <w:t>0%；</w:t>
      </w:r>
    </w:p>
    <w:p w14:paraId="579A3868">
      <w:pPr>
        <w:keepNext w:val="0"/>
        <w:keepLines w:val="0"/>
        <w:pageBreakBefore w:val="0"/>
        <w:widowControl w:val="0"/>
        <w:numPr>
          <w:ilvl w:val="0"/>
          <w:numId w:val="53"/>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人机工效评价体系涵盖生理指标、生物力学参数、运动学特征及主观体验等多维指标；</w:t>
      </w:r>
    </w:p>
    <w:p w14:paraId="1DC76580">
      <w:pPr>
        <w:keepNext w:val="0"/>
        <w:keepLines w:val="0"/>
        <w:pageBreakBefore w:val="0"/>
        <w:widowControl w:val="0"/>
        <w:numPr>
          <w:ilvl w:val="0"/>
          <w:numId w:val="53"/>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 w:val="0"/>
          <w:bCs w:val="0"/>
          <w:sz w:val="24"/>
          <w:szCs w:val="24"/>
          <w:highlight w:val="none"/>
        </w:rPr>
      </w:pPr>
      <w:r>
        <w:rPr>
          <w:rFonts w:hint="eastAsia" w:ascii="宋体" w:hAnsi="宋体" w:cs="宋体"/>
          <w:szCs w:val="24"/>
          <w:highlight w:val="none"/>
        </w:rPr>
        <w:t>人机工效评价方法可量化不同作业场景下助力服对主观与客观疲劳累积的改善效果。</w:t>
      </w:r>
    </w:p>
    <w:p w14:paraId="4585CF77">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4F98A4EA">
      <w:pPr>
        <w:keepNext w:val="0"/>
        <w:keepLines w:val="0"/>
        <w:pageBreakBefore w:val="0"/>
        <w:widowControl w:val="0"/>
        <w:numPr>
          <w:ilvl w:val="0"/>
          <w:numId w:val="54"/>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飞机装配作业场景助力作业服关键技术调研</w:t>
      </w:r>
    </w:p>
    <w:p w14:paraId="016E4E85">
      <w:pPr>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rPr>
          <w:rFonts w:ascii="宋体" w:hAnsi="宋体" w:cs="宋体"/>
          <w:szCs w:val="24"/>
          <w:highlight w:val="none"/>
        </w:rPr>
      </w:pPr>
      <w:r>
        <w:rPr>
          <w:rFonts w:hint="eastAsia" w:ascii="宋体" w:hAnsi="宋体" w:cs="宋体"/>
          <w:szCs w:val="24"/>
          <w:highlight w:val="none"/>
        </w:rPr>
        <w:t>结合文献调研、专家访谈等手段，系统梳理适配飞机装配场景的助力作业服相关技术，结合当前技术发展水平及飞机制造实际需求，明确核心技术痛点，提出针对性技术发展方向与前瞻性技术研究建议。</w:t>
      </w:r>
    </w:p>
    <w:p w14:paraId="18D8EB86">
      <w:pPr>
        <w:keepNext w:val="0"/>
        <w:keepLines w:val="0"/>
        <w:pageBreakBefore w:val="0"/>
        <w:widowControl w:val="0"/>
        <w:numPr>
          <w:ilvl w:val="0"/>
          <w:numId w:val="54"/>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助力作业服仿生结构研究设计</w:t>
      </w:r>
    </w:p>
    <w:p w14:paraId="1EFFD3F4">
      <w:pPr>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rPr>
          <w:rFonts w:ascii="宋体" w:hAnsi="宋体" w:cs="宋体"/>
          <w:szCs w:val="24"/>
          <w:highlight w:val="none"/>
        </w:rPr>
      </w:pPr>
      <w:r>
        <w:rPr>
          <w:rFonts w:hint="eastAsia" w:ascii="宋体" w:hAnsi="宋体" w:cs="宋体"/>
          <w:szCs w:val="24"/>
          <w:highlight w:val="none"/>
        </w:rPr>
        <w:t>明确典型飞机装配场景的作业空间约束条件,提取上肢运动模式、肌肉协同特性及关节运动学参数；构建人体-助力作业服人机耦合关节运动学模型，建立人体运动与助力结构的映射关系；围绕关节活动范围匹配、人机运动轨迹一致性及作业空间适应性核心指标，优化运动范围适配方案与关键结构设计参数，完成具备良好人机融合性、运动顺应性及空间适配性的仿生上肢结构设计。</w:t>
      </w:r>
    </w:p>
    <w:p w14:paraId="1649D897">
      <w:pPr>
        <w:keepNext w:val="0"/>
        <w:keepLines w:val="0"/>
        <w:pageBreakBefore w:val="0"/>
        <w:widowControl w:val="0"/>
        <w:numPr>
          <w:ilvl w:val="0"/>
          <w:numId w:val="54"/>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助力作业服驱动机构研究</w:t>
      </w:r>
    </w:p>
    <w:p w14:paraId="33EC25BE">
      <w:pPr>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rPr>
          <w:rFonts w:ascii="宋体" w:hAnsi="宋体" w:cs="宋体"/>
          <w:szCs w:val="24"/>
          <w:highlight w:val="none"/>
        </w:rPr>
      </w:pPr>
      <w:r>
        <w:rPr>
          <w:rFonts w:hint="eastAsia" w:ascii="宋体" w:hAnsi="宋体" w:cs="宋体"/>
          <w:szCs w:val="24"/>
          <w:highlight w:val="none"/>
        </w:rPr>
        <w:t>针对现有设备多任务适配不足、静态支撑缺失等关键问题，研究可重构力矩曲线的力矩生成器，实现多种装配任务可调的上肢目标运动区间精准辅助、非目标运动区间低介入的高效助力效果；同步研发支撑辅助结构与力矩生成器的融合方案，保障长时固定作业姿势的重力精准补偿，提升驱动机构对飞机装配场景的适配能力。</w:t>
      </w:r>
    </w:p>
    <w:p w14:paraId="44FC40A2">
      <w:pPr>
        <w:keepNext w:val="0"/>
        <w:keepLines w:val="0"/>
        <w:pageBreakBefore w:val="0"/>
        <w:widowControl w:val="0"/>
        <w:numPr>
          <w:ilvl w:val="0"/>
          <w:numId w:val="54"/>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助力作业服人机工效评估体系构建</w:t>
      </w:r>
    </w:p>
    <w:p w14:paraId="308BB8F6">
      <w:pPr>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rPr>
          <w:rFonts w:ascii="宋体" w:hAnsi="宋体" w:cs="宋体"/>
          <w:szCs w:val="24"/>
          <w:highlight w:val="none"/>
        </w:rPr>
      </w:pPr>
      <w:r>
        <w:rPr>
          <w:rFonts w:hint="eastAsia" w:ascii="宋体" w:hAnsi="宋体" w:cs="宋体"/>
          <w:szCs w:val="24"/>
          <w:highlight w:val="none"/>
        </w:rPr>
        <w:t>针对当前飞机装配场景助力作业服评估标准缺失问题，构建涵盖多维度主客观指标的人机工效评估体系；结合高位制孔铆接、客舱内饰安装安装等典型上肢</w:t>
      </w:r>
      <w:r>
        <w:rPr>
          <w:rFonts w:ascii="宋体" w:hAnsi="宋体" w:cs="宋体"/>
          <w:szCs w:val="24"/>
          <w:highlight w:val="none"/>
        </w:rPr>
        <w:t>高负载</w:t>
      </w:r>
      <w:r>
        <w:rPr>
          <w:rFonts w:hint="eastAsia" w:ascii="宋体" w:hAnsi="宋体" w:cs="宋体"/>
          <w:szCs w:val="24"/>
          <w:highlight w:val="none"/>
        </w:rPr>
        <w:t>任务设计针对性评估方案，实现对助力作业服肌肉疲劳缓解效果、场景适配能力及人机协同效率的全面量化评估，为助力作业服的选型与应用提供科学量化评估手段。</w:t>
      </w:r>
    </w:p>
    <w:p w14:paraId="09D33517">
      <w:pPr>
        <w:keepNext w:val="0"/>
        <w:keepLines w:val="0"/>
        <w:pageBreakBefore w:val="0"/>
        <w:widowControl w:val="0"/>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b w:val="0"/>
          <w:bCs w:val="0"/>
          <w:sz w:val="24"/>
          <w:szCs w:val="24"/>
          <w:highlight w:val="none"/>
        </w:rPr>
      </w:pPr>
    </w:p>
    <w:p w14:paraId="6DD6F309">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3A2D1345">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飞机装配任务助力作业服国内外研究现状分析与研究报告；</w:t>
      </w:r>
    </w:p>
    <w:p w14:paraId="245EB30C">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飞机装配任务助力作业服优化设计与评估技术总结报告；</w:t>
      </w:r>
    </w:p>
    <w:p w14:paraId="2F657122">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飞机装配任务助力作业服及配套设计文档</w:t>
      </w:r>
      <w:r>
        <w:rPr>
          <w:rFonts w:ascii="宋体" w:hAnsi="宋体" w:cs="宋体"/>
          <w:szCs w:val="24"/>
          <w:highlight w:val="none"/>
        </w:rPr>
        <w:t>1套；</w:t>
      </w:r>
    </w:p>
    <w:p w14:paraId="161C354D">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将疲劳恢复分析技术成熟度提升为</w:t>
      </w:r>
      <w:r>
        <w:rPr>
          <w:rFonts w:ascii="宋体" w:hAnsi="宋体" w:cs="宋体"/>
          <w:szCs w:val="24"/>
          <w:highlight w:val="none"/>
        </w:rPr>
        <w:t>TRL6；</w:t>
      </w:r>
    </w:p>
    <w:p w14:paraId="07F815D5">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480" w:leftChars="200" w:firstLine="0" w:firstLineChars="0"/>
        <w:textAlignment w:val="auto"/>
        <w:rPr>
          <w:rFonts w:ascii="宋体" w:hAnsi="宋体" w:cs="宋体"/>
          <w:szCs w:val="24"/>
          <w:highlight w:val="none"/>
        </w:rPr>
      </w:pPr>
      <w:r>
        <w:rPr>
          <w:rFonts w:hint="eastAsia" w:ascii="宋体" w:hAnsi="宋体" w:cs="宋体"/>
          <w:szCs w:val="24"/>
          <w:highlight w:val="none"/>
        </w:rPr>
        <w:t>形成助力作业服相关论文</w:t>
      </w:r>
      <w:r>
        <w:rPr>
          <w:rFonts w:ascii="宋体" w:hAnsi="宋体" w:cs="宋体"/>
          <w:szCs w:val="24"/>
          <w:highlight w:val="none"/>
        </w:rPr>
        <w:t>2篇，形成相关专利</w:t>
      </w:r>
      <w:r>
        <w:rPr>
          <w:rFonts w:hint="eastAsia" w:ascii="宋体" w:hAnsi="宋体" w:cs="宋体"/>
          <w:szCs w:val="24"/>
          <w:highlight w:val="none"/>
        </w:rPr>
        <w:t>技术交底书</w:t>
      </w:r>
      <w:r>
        <w:rPr>
          <w:rFonts w:ascii="宋体" w:hAnsi="宋体" w:cs="宋体"/>
          <w:szCs w:val="24"/>
          <w:highlight w:val="none"/>
        </w:rPr>
        <w:t>1项；</w:t>
      </w:r>
    </w:p>
    <w:p w14:paraId="7AF45C8A">
      <w:pPr>
        <w:keepNext w:val="0"/>
        <w:keepLines w:val="0"/>
        <w:pageBreakBefore w:val="0"/>
        <w:widowControl w:val="0"/>
        <w:numPr>
          <w:ilvl w:val="0"/>
          <w:numId w:val="55"/>
        </w:numPr>
        <w:kinsoku/>
        <w:wordWrap/>
        <w:overflowPunct/>
        <w:topLinePunct w:val="0"/>
        <w:autoSpaceDE/>
        <w:autoSpaceDN/>
        <w:bidi w:val="0"/>
        <w:adjustRightInd/>
        <w:snapToGrid/>
        <w:spacing w:line="240" w:lineRule="auto"/>
        <w:ind w:left="480" w:leftChars="200" w:firstLine="0" w:firstLineChars="0"/>
        <w:textAlignment w:val="auto"/>
        <w:outlineLvl w:val="9"/>
        <w:rPr>
          <w:rFonts w:hint="eastAsia" w:ascii="宋体" w:hAnsi="宋体" w:eastAsia="宋体" w:cs="宋体"/>
          <w:b w:val="0"/>
          <w:bCs w:val="0"/>
          <w:sz w:val="24"/>
          <w:szCs w:val="24"/>
          <w:highlight w:val="none"/>
        </w:rPr>
      </w:pPr>
      <w:r>
        <w:rPr>
          <w:rFonts w:hint="eastAsia" w:ascii="宋体" w:hAnsi="宋体" w:cs="宋体"/>
          <w:szCs w:val="24"/>
          <w:highlight w:val="none"/>
        </w:rPr>
        <w:t>形成上肢助力作业服人机工效评价标准（企业标准）初稿</w:t>
      </w:r>
      <w:r>
        <w:rPr>
          <w:rFonts w:ascii="宋体" w:hAnsi="宋体" w:cs="宋体"/>
          <w:szCs w:val="24"/>
          <w:highlight w:val="none"/>
        </w:rPr>
        <w:t>1套；</w:t>
      </w:r>
    </w:p>
    <w:p w14:paraId="4844CAA2">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31324235">
      <w:pPr>
        <w:pageBreakBefore w:val="0"/>
        <w:kinsoku/>
        <w:wordWrap/>
        <w:overflowPunct/>
        <w:topLinePunct w:val="0"/>
        <w:autoSpaceDE/>
        <w:autoSpaceDN/>
        <w:bidi w:val="0"/>
        <w:adjustRightInd/>
        <w:spacing w:line="240" w:lineRule="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24个月</w:t>
      </w:r>
      <w:r>
        <w:rPr>
          <w:rFonts w:hint="eastAsia" w:ascii="宋体" w:hAnsi="宋体" w:eastAsia="宋体" w:cs="宋体"/>
          <w:b w:val="0"/>
          <w:bCs w:val="0"/>
          <w:sz w:val="24"/>
          <w:szCs w:val="24"/>
          <w:highlight w:val="none"/>
          <w:lang w:eastAsia="zh-CN"/>
        </w:rPr>
        <w:t>。</w:t>
      </w:r>
    </w:p>
    <w:p w14:paraId="3E43459E">
      <w:pPr>
        <w:pageBreakBefore w:val="0"/>
        <w:numPr>
          <w:ilvl w:val="0"/>
          <w:numId w:val="52"/>
        </w:numPr>
        <w:kinsoku/>
        <w:wordWrap/>
        <w:overflowPunct/>
        <w:topLinePunct w:val="0"/>
        <w:autoSpaceDE/>
        <w:autoSpaceDN/>
        <w:bidi w:val="0"/>
        <w:adjustRightInd/>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5D2D0578">
      <w:pPr>
        <w:pStyle w:val="8"/>
        <w:pageBreakBefore w:val="0"/>
        <w:kinsoku/>
        <w:wordWrap/>
        <w:overflowPunct/>
        <w:topLinePunct w:val="0"/>
        <w:autoSpaceDE/>
        <w:autoSpaceDN/>
        <w:bidi w:val="0"/>
        <w:adjustRightInd/>
        <w:spacing w:line="240" w:lineRule="auto"/>
        <w:jc w:val="left"/>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50万元。</w:t>
      </w:r>
    </w:p>
    <w:p w14:paraId="2C9D06FC">
      <w:pPr>
        <w:pageBreakBefore w:val="0"/>
        <w:kinsoku/>
        <w:wordWrap/>
        <w:overflowPunct/>
        <w:topLinePunct w:val="0"/>
        <w:autoSpaceDE/>
        <w:autoSpaceDN/>
        <w:bidi w:val="0"/>
        <w:adjustRightInd/>
        <w:spacing w:line="240" w:lineRule="auto"/>
        <w:rPr>
          <w:rFonts w:hint="eastAsia"/>
          <w:highlight w:val="none"/>
          <w:lang w:val="en-US" w:eastAsia="zh-CN"/>
        </w:rPr>
      </w:pPr>
    </w:p>
    <w:p w14:paraId="2EF6270E">
      <w:pPr>
        <w:pStyle w:val="8"/>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529B6E92">
      <w:pPr>
        <w:pStyle w:val="2"/>
        <w:pageBreakBefore w:val="0"/>
        <w:kinsoku/>
        <w:wordWrap/>
        <w:overflowPunct/>
        <w:topLinePunct w:val="0"/>
        <w:autoSpaceDE/>
        <w:autoSpaceDN/>
        <w:bidi w:val="0"/>
        <w:adjustRightInd/>
        <w:spacing w:line="240" w:lineRule="auto"/>
        <w:rPr>
          <w:rFonts w:hint="eastAsia" w:ascii="Times New Roman" w:hAnsi="Times New Roman" w:eastAsia="宋体" w:cs="Times New Roman"/>
          <w:highlight w:val="none"/>
          <w:lang w:val="en-US" w:eastAsia="zh-CN"/>
        </w:rPr>
      </w:pPr>
      <w:bookmarkStart w:id="31" w:name="_Toc4509"/>
      <w:r>
        <w:rPr>
          <w:rFonts w:hint="eastAsia" w:ascii="Times New Roman" w:hAnsi="Times New Roman" w:eastAsia="宋体" w:cs="Times New Roman"/>
          <w:highlight w:val="none"/>
          <w:lang w:val="en-US" w:eastAsia="zh-CN"/>
        </w:rPr>
        <w:t>复材薄壁叠层结构湿胶状态制孔毛刺控制工艺及性能影响</w:t>
      </w:r>
      <w:bookmarkEnd w:id="31"/>
    </w:p>
    <w:p w14:paraId="35C46362">
      <w:pPr>
        <w:keepNext w:val="0"/>
        <w:keepLines w:val="0"/>
        <w:pageBreakBefore w:val="0"/>
        <w:widowControl w:val="0"/>
        <w:numPr>
          <w:ilvl w:val="0"/>
          <w:numId w:val="56"/>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项目背景</w:t>
      </w:r>
    </w:p>
    <w:p w14:paraId="6BB9D1E7">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复合材料在飞机结构上的大量应用是提高飞机经济性、舒适性和环保性的重要保证，也是提升国产飞机国际竞争力的重要手段。在飞机部件装配中不可避免地出现复合材料制件间的连接装配，如复合材料壁板与壁板、框角片与壁板间的机械连接等。传统的连接工艺通常要经过预装配、制孔、拆卸、去除孔中残渣和孔边毛刺、装配连接等多道工序才能完成，导致产品装配周期长、生产效率低下。而一次性装配技术则是通过特定工艺实现装配组件一次性完成组装，避免重复拆装的工艺方法。对于飞机结构的装配而言，通过一次性装配技术的实施，可极大改善整体安装流程时间，避免拆卸配合零件以便清理连接孔中的残渣和毛刺，大幅提升产品生产效率。</w:t>
      </w:r>
    </w:p>
    <w:p w14:paraId="6CAECFD3">
      <w:pPr>
        <w:keepNext w:val="0"/>
        <w:keepLines w:val="0"/>
        <w:pageBreakBefore w:val="0"/>
        <w:widowControl w:val="0"/>
        <w:numPr>
          <w:ilvl w:val="0"/>
          <w:numId w:val="56"/>
        </w:numPr>
        <w:kinsoku/>
        <w:wordWrap/>
        <w:overflowPunct/>
        <w:topLinePunct w:val="0"/>
        <w:autoSpaceDE/>
        <w:autoSpaceDN/>
        <w:bidi w:val="0"/>
        <w:adjustRightInd/>
        <w:snapToGri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项目归属的重点专业领域</w:t>
      </w:r>
    </w:p>
    <w:p w14:paraId="17C35A09">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冷工艺</w:t>
      </w:r>
    </w:p>
    <w:p w14:paraId="13C05E48">
      <w:pPr>
        <w:keepNext w:val="0"/>
        <w:keepLines w:val="0"/>
        <w:pageBreakBefore w:val="0"/>
        <w:widowControl w:val="0"/>
        <w:numPr>
          <w:ilvl w:val="0"/>
          <w:numId w:val="56"/>
        </w:numPr>
        <w:kinsoku/>
        <w:wordWrap/>
        <w:overflowPunct/>
        <w:topLinePunct w:val="0"/>
        <w:autoSpaceDE/>
        <w:autoSpaceDN/>
        <w:bidi w:val="0"/>
        <w:adjustRightInd/>
        <w:snapToGri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项目目标及技术指标</w:t>
      </w:r>
    </w:p>
    <w:p w14:paraId="71EDFC85">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 xml:space="preserve">项目目标： </w:t>
      </w:r>
    </w:p>
    <w:p w14:paraId="1E13F19C">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针对传统复合材料连接装配效率低下的问题，以实现复合材料薄壁叠层结构一次性装配为目标，分析复合材料夹层间隙形成机制，探索制孔工艺对夹层间隙变化的影响及其影响制孔毛刺规律，揭示制孔毛刺及残余切屑对复合材料连接性能的影响，研制辅助制孔工具，优化制孔毛刺控制策略，形成复合材料叠层制孔工艺方法，为实现复合材料叠层制件一次性装配提供技术支撑。</w:t>
      </w:r>
    </w:p>
    <w:p w14:paraId="5FA76359">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技术指标：</w:t>
      </w:r>
    </w:p>
    <w:p w14:paraId="740DF924">
      <w:pPr>
        <w:keepNext w:val="0"/>
        <w:keepLines w:val="0"/>
        <w:pageBreakBefore w:val="0"/>
        <w:widowControl w:val="0"/>
        <w:numPr>
          <w:ilvl w:val="0"/>
          <w:numId w:val="57"/>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与传统装配连接工艺相比，装配效率提升≥50%；</w:t>
      </w:r>
    </w:p>
    <w:p w14:paraId="350393D8">
      <w:pPr>
        <w:keepNext w:val="0"/>
        <w:keepLines w:val="0"/>
        <w:pageBreakBefore w:val="0"/>
        <w:widowControl w:val="0"/>
        <w:numPr>
          <w:ilvl w:val="0"/>
          <w:numId w:val="57"/>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揭示制孔工艺影响毛刺与残余切屑变化规律；</w:t>
      </w:r>
    </w:p>
    <w:p w14:paraId="5A846371">
      <w:pPr>
        <w:keepNext w:val="0"/>
        <w:keepLines w:val="0"/>
        <w:pageBreakBefore w:val="0"/>
        <w:widowControl w:val="0"/>
        <w:numPr>
          <w:ilvl w:val="0"/>
          <w:numId w:val="57"/>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建立制孔毛刺及残余切屑影响连接性能规律；</w:t>
      </w:r>
    </w:p>
    <w:p w14:paraId="2CC2984C">
      <w:pPr>
        <w:keepNext w:val="0"/>
        <w:keepLines w:val="0"/>
        <w:pageBreakBefore w:val="0"/>
        <w:widowControl w:val="0"/>
        <w:numPr>
          <w:ilvl w:val="0"/>
          <w:numId w:val="57"/>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研究不少于2种典型孔径、2种典型搭接结构，制孔孔径不小于6/32in.。</w:t>
      </w:r>
    </w:p>
    <w:p w14:paraId="7251D76B">
      <w:pPr>
        <w:keepNext w:val="0"/>
        <w:keepLines w:val="0"/>
        <w:pageBreakBefore w:val="0"/>
        <w:widowControl w:val="0"/>
        <w:numPr>
          <w:ilvl w:val="0"/>
          <w:numId w:val="56"/>
        </w:numPr>
        <w:kinsoku/>
        <w:wordWrap/>
        <w:overflowPunct/>
        <w:topLinePunct w:val="0"/>
        <w:autoSpaceDE/>
        <w:autoSpaceDN/>
        <w:bidi w:val="0"/>
        <w:adjustRightInd/>
        <w:snapToGri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主要研究内容</w:t>
      </w:r>
    </w:p>
    <w:p w14:paraId="268FFCB4">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复合材料制孔过程中会产生切屑和毛刺，在刀具旋转推进的作用下极有可能进入到叠层结构的夹层中，对连接性能产生影响。要实现复合材料叠层结构一次性装配，必须准确把握切屑及毛刺残留对连接性能的影响，优化临时紧固工艺，形成低切屑残余制孔工艺方法。为此需开展的主要研究包括：</w:t>
      </w:r>
    </w:p>
    <w:p w14:paraId="324A069C">
      <w:pPr>
        <w:keepNext w:val="0"/>
        <w:keepLines w:val="0"/>
        <w:pageBreakBefore w:val="0"/>
        <w:widowControl w:val="0"/>
        <w:numPr>
          <w:ilvl w:val="0"/>
          <w:numId w:val="58"/>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复合材料叠层结构夹层间隙形成要素分析</w:t>
      </w:r>
    </w:p>
    <w:p w14:paraId="44CA07BA">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夹层间隙的存在是形成夹层切屑残留的物理基础，要实现夹层切屑的有效消减必须掌握影响夹层间隙产生的影响要素。因此需要研究制件形貌、临时紧固施加位置、预紧力大小影响夹层间隙产生规律，分析制孔工艺改变对夹层间隙的影响，为夹层间隙调控方法的提出创造条件。</w:t>
      </w:r>
    </w:p>
    <w:p w14:paraId="475069EB">
      <w:pPr>
        <w:keepNext w:val="0"/>
        <w:keepLines w:val="0"/>
        <w:pageBreakBefore w:val="0"/>
        <w:widowControl w:val="0"/>
        <w:numPr>
          <w:ilvl w:val="0"/>
          <w:numId w:val="58"/>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复合材料制孔毛刺与残余切屑影响连接性能规律</w:t>
      </w:r>
    </w:p>
    <w:p w14:paraId="580E44BE">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掌握夹层残余切屑与制孔毛刺影响复合材料连接性能规律是合理评估一次性装配工艺可行性的关键所在。因此，需要分析夹层切屑与制孔毛刺影响紧固件预紧力变化规律，揭示其对复合材料连接静力学性能的影响，解析制孔毛刺、残余切屑、孔轴配合间隙、预紧力大小共同作用影响连接区疲劳寿命规律，为合理评价一次性装配工艺方案的可行性提供数据支撑。</w:t>
      </w:r>
    </w:p>
    <w:p w14:paraId="5919DA0E">
      <w:pPr>
        <w:keepNext w:val="0"/>
        <w:keepLines w:val="0"/>
        <w:pageBreakBefore w:val="0"/>
        <w:widowControl w:val="0"/>
        <w:numPr>
          <w:ilvl w:val="0"/>
          <w:numId w:val="58"/>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复合材料叠层结构低毛刺制孔工艺方法</w:t>
      </w:r>
    </w:p>
    <w:p w14:paraId="5954EB22">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为保证一次性装配工艺的可实施性，必须精准调控制孔毛刺与夹层残余切屑量。为此，需针对夹层间隙产生影响要素提出夹层间隙控制方法，研发辅助制孔工具，完善制孔工艺，为一次性装配工艺的实施创造条件。</w:t>
      </w:r>
    </w:p>
    <w:p w14:paraId="7D1FB547">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拟解决的关键技术</w:t>
      </w:r>
    </w:p>
    <w:p w14:paraId="3FEE8B2B">
      <w:pPr>
        <w:keepNext w:val="0"/>
        <w:keepLines w:val="0"/>
        <w:pageBreakBefore w:val="0"/>
        <w:widowControl w:val="0"/>
        <w:numPr>
          <w:ilvl w:val="0"/>
          <w:numId w:val="59"/>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复合材料叠层结构柔性多点高预紧临时紧固技术</w:t>
      </w:r>
    </w:p>
    <w:p w14:paraId="2B0FC374">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降低叠层结构的夹层间隙是降低残余切屑的关键所在，只有研制辅助制孔工具，实现制孔区域的临时多点高预紧力夹持，才能确保低切屑残余制孔的实现。</w:t>
      </w:r>
    </w:p>
    <w:p w14:paraId="2B9EC707">
      <w:pPr>
        <w:keepNext w:val="0"/>
        <w:keepLines w:val="0"/>
        <w:pageBreakBefore w:val="0"/>
        <w:widowControl w:val="0"/>
        <w:numPr>
          <w:ilvl w:val="0"/>
          <w:numId w:val="59"/>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复材薄壁叠层结构高质量一次性制孔工艺技术</w:t>
      </w:r>
    </w:p>
    <w:p w14:paraId="5D3B0C01">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制孔工艺的改变影响着刀具的转速、进给速度及切削力的大小，继而对叠层结构的夹层间隙、切屑运动轨迹及制孔毛刺形成产生影响。必须根据孔径大小、材料厚度等优化制孔工艺，才能确保复合材料叠层结构一次性高质量制孔的实现。</w:t>
      </w:r>
    </w:p>
    <w:p w14:paraId="0445F2C1">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研究结果的验证方式</w:t>
      </w:r>
    </w:p>
    <w:p w14:paraId="4A51399D">
      <w:pPr>
        <w:keepNext w:val="0"/>
        <w:keepLines w:val="0"/>
        <w:pageBreakBefore w:val="0"/>
        <w:widowControl w:val="0"/>
        <w:numPr>
          <w:ilvl w:val="0"/>
          <w:numId w:val="60"/>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实物验证；</w:t>
      </w:r>
    </w:p>
    <w:p w14:paraId="4A6B1981">
      <w:pPr>
        <w:keepNext w:val="0"/>
        <w:keepLines w:val="0"/>
        <w:pageBreakBefore w:val="0"/>
        <w:widowControl w:val="0"/>
        <w:numPr>
          <w:ilvl w:val="0"/>
          <w:numId w:val="60"/>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第三方测试验证；</w:t>
      </w:r>
    </w:p>
    <w:p w14:paraId="7C60EAE1">
      <w:pPr>
        <w:keepNext w:val="0"/>
        <w:keepLines w:val="0"/>
        <w:pageBreakBefore w:val="0"/>
        <w:widowControl w:val="0"/>
        <w:numPr>
          <w:ilvl w:val="0"/>
          <w:numId w:val="56"/>
        </w:numPr>
        <w:kinsoku/>
        <w:wordWrap/>
        <w:overflowPunct/>
        <w:topLinePunct w:val="0"/>
        <w:autoSpaceDE/>
        <w:autoSpaceDN/>
        <w:bidi w:val="0"/>
        <w:adjustRightInd/>
        <w:snapToGri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预期成果</w:t>
      </w:r>
    </w:p>
    <w:p w14:paraId="574719B8">
      <w:pPr>
        <w:keepNext w:val="0"/>
        <w:keepLines w:val="0"/>
        <w:pageBreakBefore w:val="0"/>
        <w:widowControl w:val="0"/>
        <w:numPr>
          <w:ilvl w:val="0"/>
          <w:numId w:val="61"/>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低残余切屑制孔工艺指南1份；</w:t>
      </w:r>
    </w:p>
    <w:p w14:paraId="6F4D351D">
      <w:pPr>
        <w:keepNext w:val="0"/>
        <w:keepLines w:val="0"/>
        <w:pageBreakBefore w:val="0"/>
        <w:widowControl w:val="0"/>
        <w:numPr>
          <w:ilvl w:val="0"/>
          <w:numId w:val="61"/>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辅助排屑工具1套；</w:t>
      </w:r>
    </w:p>
    <w:p w14:paraId="2C575766">
      <w:pPr>
        <w:keepNext w:val="0"/>
        <w:keepLines w:val="0"/>
        <w:pageBreakBefore w:val="0"/>
        <w:widowControl w:val="0"/>
        <w:numPr>
          <w:ilvl w:val="0"/>
          <w:numId w:val="61"/>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残余切屑影响复合材料连接性能研究报告1篇；</w:t>
      </w:r>
    </w:p>
    <w:p w14:paraId="4140F8BF">
      <w:pPr>
        <w:keepNext w:val="0"/>
        <w:keepLines w:val="0"/>
        <w:pageBreakBefore w:val="0"/>
        <w:widowControl w:val="0"/>
        <w:numPr>
          <w:ilvl w:val="0"/>
          <w:numId w:val="61"/>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申请发明专利1件；</w:t>
      </w:r>
    </w:p>
    <w:p w14:paraId="5847AE39">
      <w:pPr>
        <w:keepNext w:val="0"/>
        <w:keepLines w:val="0"/>
        <w:pageBreakBefore w:val="0"/>
        <w:widowControl w:val="0"/>
        <w:numPr>
          <w:ilvl w:val="0"/>
          <w:numId w:val="61"/>
        </w:numPr>
        <w:kinsoku/>
        <w:wordWrap/>
        <w:overflowPunct/>
        <w:topLinePunct w:val="0"/>
        <w:autoSpaceDE/>
        <w:autoSpaceDN/>
        <w:bidi w:val="0"/>
        <w:adjustRightInd/>
        <w:snapToGri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发表研究论文1-2篇。</w:t>
      </w:r>
    </w:p>
    <w:p w14:paraId="4E9284B0">
      <w:pPr>
        <w:keepNext w:val="0"/>
        <w:keepLines w:val="0"/>
        <w:pageBreakBefore w:val="0"/>
        <w:widowControl w:val="0"/>
        <w:numPr>
          <w:ilvl w:val="0"/>
          <w:numId w:val="56"/>
        </w:numPr>
        <w:kinsoku/>
        <w:wordWrap/>
        <w:overflowPunct/>
        <w:topLinePunct w:val="0"/>
        <w:autoSpaceDE/>
        <w:autoSpaceDN/>
        <w:bidi w:val="0"/>
        <w:adjustRightInd/>
        <w:snapToGri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建议研究周期和启动时间</w:t>
      </w:r>
    </w:p>
    <w:p w14:paraId="04B87144">
      <w:pPr>
        <w:keepNext w:val="0"/>
        <w:keepLines w:val="0"/>
        <w:pageBreakBefore w:val="0"/>
        <w:widowControl w:val="0"/>
        <w:kinsoku/>
        <w:wordWrap/>
        <w:overflowPunct/>
        <w:topLinePunct w:val="0"/>
        <w:autoSpaceDE/>
        <w:autoSpaceDN/>
        <w:bidi w:val="0"/>
        <w:adjustRightInd/>
        <w:snapToGrid/>
        <w:spacing w:after="0" w:line="240" w:lineRule="auto"/>
        <w:ind w:left="5" w:firstLine="480" w:firstLineChars="200"/>
        <w:textAlignment w:val="auto"/>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24个月。</w:t>
      </w:r>
    </w:p>
    <w:p w14:paraId="6C6640E6">
      <w:pPr>
        <w:keepNext w:val="0"/>
        <w:keepLines w:val="0"/>
        <w:pageBreakBefore w:val="0"/>
        <w:widowControl w:val="0"/>
        <w:numPr>
          <w:ilvl w:val="0"/>
          <w:numId w:val="56"/>
        </w:numPr>
        <w:kinsoku/>
        <w:wordWrap/>
        <w:overflowPunct/>
        <w:topLinePunct w:val="0"/>
        <w:autoSpaceDE/>
        <w:autoSpaceDN/>
        <w:bidi w:val="0"/>
        <w:adjustRightInd/>
        <w:snapToGri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所需研究经费</w:t>
      </w:r>
    </w:p>
    <w:p w14:paraId="0E46E7F9">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bCs/>
          <w:sz w:val="24"/>
          <w:szCs w:val="24"/>
          <w:highlight w:val="none"/>
        </w:rPr>
      </w:pPr>
      <w:r>
        <w:rPr>
          <w:rFonts w:hint="eastAsia" w:ascii="Times New Roman" w:hAnsi="宋体" w:eastAsia="宋体" w:cs="Times New Roman"/>
          <w:bCs/>
          <w:sz w:val="24"/>
          <w:highlight w:val="none"/>
        </w:rPr>
        <w:t>50万元</w:t>
      </w:r>
      <w:r>
        <w:rPr>
          <w:rFonts w:hint="eastAsia" w:ascii="Times New Roman" w:hAnsi="宋体" w:eastAsia="宋体" w:cs="Times New Roman"/>
          <w:bCs/>
          <w:sz w:val="24"/>
          <w:szCs w:val="24"/>
          <w:highlight w:val="none"/>
        </w:rPr>
        <w:t>。</w:t>
      </w:r>
    </w:p>
    <w:p w14:paraId="3322709F">
      <w:pPr>
        <w:pStyle w:val="8"/>
        <w:rPr>
          <w:rFonts w:hint="eastAsia"/>
          <w:highlight w:val="none"/>
          <w:lang w:val="en-US" w:eastAsia="zh-CN"/>
        </w:rPr>
      </w:pPr>
    </w:p>
    <w:p w14:paraId="20AB0910">
      <w:pPr>
        <w:pStyle w:val="8"/>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1DA6C651">
      <w:pPr>
        <w:pStyle w:val="2"/>
        <w:pageBreakBefore w:val="0"/>
        <w:kinsoku/>
        <w:wordWrap/>
        <w:overflowPunct/>
        <w:topLinePunct w:val="0"/>
        <w:autoSpaceDE/>
        <w:autoSpaceDN/>
        <w:bidi w:val="0"/>
        <w:adjustRightInd/>
        <w:spacing w:line="240" w:lineRule="auto"/>
        <w:rPr>
          <w:rFonts w:hint="eastAsia" w:ascii="Times New Roman" w:hAnsi="Times New Roman" w:eastAsia="宋体" w:cs="Times New Roman"/>
          <w:highlight w:val="none"/>
          <w:lang w:val="en-US" w:eastAsia="zh-CN"/>
        </w:rPr>
      </w:pPr>
      <w:bookmarkStart w:id="32" w:name="_Toc14451"/>
      <w:r>
        <w:rPr>
          <w:rFonts w:hint="eastAsia" w:ascii="Times New Roman" w:hAnsi="Times New Roman" w:eastAsia="宋体" w:cs="Times New Roman"/>
          <w:highlight w:val="none"/>
          <w:lang w:val="en-US" w:eastAsia="zh-CN"/>
        </w:rPr>
        <w:t>地震与地基沉降对飞机生产线关键设备的影响研究</w:t>
      </w:r>
      <w:bookmarkEnd w:id="32"/>
    </w:p>
    <w:p w14:paraId="492565C0">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项目背景</w:t>
      </w:r>
    </w:p>
    <w:p w14:paraId="13A24704">
      <w:pPr>
        <w:keepNext w:val="0"/>
        <w:keepLines w:val="0"/>
        <w:pageBreakBefore w:val="0"/>
        <w:widowControl w:val="0"/>
        <w:kinsoku/>
        <w:wordWrap/>
        <w:overflowPunct/>
        <w:topLinePunct w:val="0"/>
        <w:autoSpaceDE/>
        <w:autoSpaceDN/>
        <w:bidi w:val="0"/>
        <w:adjustRightInd/>
        <w:spacing w:line="240" w:lineRule="auto"/>
        <w:ind w:firstLine="360"/>
        <w:textAlignment w:val="auto"/>
        <w:rPr>
          <w:rFonts w:hint="eastAsia" w:ascii="宋体" w:hAnsi="宋体" w:eastAsia="宋体"/>
          <w:sz w:val="24"/>
          <w:highlight w:val="none"/>
        </w:rPr>
      </w:pPr>
      <w:bookmarkStart w:id="33" w:name="_Hlk141739726"/>
      <w:r>
        <w:rPr>
          <w:rFonts w:hint="eastAsia" w:ascii="宋体" w:hAnsi="宋体" w:eastAsia="宋体"/>
          <w:sz w:val="24"/>
          <w:highlight w:val="none"/>
        </w:rPr>
        <w:t>地震作为一种突发性强、破坏性显著的极端自然灾害，对工业基础设施和重大装备制造系统构成严重威胁。</w:t>
      </w:r>
    </w:p>
    <w:p w14:paraId="445F4A80">
      <w:pPr>
        <w:keepNext w:val="0"/>
        <w:keepLines w:val="0"/>
        <w:pageBreakBefore w:val="0"/>
        <w:widowControl w:val="0"/>
        <w:kinsoku/>
        <w:wordWrap/>
        <w:overflowPunct/>
        <w:topLinePunct w:val="0"/>
        <w:autoSpaceDE/>
        <w:autoSpaceDN/>
        <w:bidi w:val="0"/>
        <w:adjustRightInd/>
        <w:spacing w:line="240" w:lineRule="auto"/>
        <w:ind w:firstLine="360"/>
        <w:textAlignment w:val="auto"/>
        <w:rPr>
          <w:rFonts w:hint="eastAsia" w:ascii="宋体" w:hAnsi="宋体" w:eastAsia="宋体"/>
          <w:sz w:val="24"/>
          <w:highlight w:val="none"/>
        </w:rPr>
      </w:pPr>
      <w:r>
        <w:rPr>
          <w:rFonts w:hint="eastAsia" w:ascii="宋体" w:hAnsi="宋体" w:eastAsia="宋体"/>
          <w:sz w:val="24"/>
          <w:highlight w:val="none"/>
        </w:rPr>
        <w:t>飞机生产线是航空制造体系中高度集成、精度要求极高的核心生产系统，主要由固定设备、固定工装和AGV工装等关键设备单元构成。其中，固定设备和固定工装通常通过基础或预埋件与厂房地基刚性连接，AGV工装依赖地面平整度和导航系统实现高精度移动。上述关键设备一旦发生结构损伤或定位偏差，将直接影响飞机装配精度、产品质量及生产连续性。</w:t>
      </w:r>
    </w:p>
    <w:p w14:paraId="6FA74E6A">
      <w:pPr>
        <w:keepNext w:val="0"/>
        <w:keepLines w:val="0"/>
        <w:pageBreakBefore w:val="0"/>
        <w:widowControl w:val="0"/>
        <w:kinsoku/>
        <w:wordWrap/>
        <w:overflowPunct/>
        <w:topLinePunct w:val="0"/>
        <w:autoSpaceDE/>
        <w:autoSpaceDN/>
        <w:bidi w:val="0"/>
        <w:adjustRightInd/>
        <w:spacing w:line="240" w:lineRule="auto"/>
        <w:ind w:firstLine="360"/>
        <w:textAlignment w:val="auto"/>
        <w:rPr>
          <w:rFonts w:hint="eastAsia" w:ascii="宋体" w:hAnsi="宋体" w:eastAsia="宋体"/>
          <w:sz w:val="24"/>
          <w:highlight w:val="none"/>
        </w:rPr>
      </w:pPr>
      <w:r>
        <w:rPr>
          <w:rFonts w:hint="eastAsia" w:ascii="宋体" w:hAnsi="宋体" w:eastAsia="宋体"/>
          <w:sz w:val="24"/>
          <w:highlight w:val="none"/>
        </w:rPr>
        <w:t>地震作用下，飞机生产线关键设备将承受显著的惯性力和动力放大效应。AGV工装可能发生行走偏移、轮组损伤及控制系统异常；固定设备与固定工装可能出现连接节点损伤、结构屈曲或装配精度退化等问题，严重时导致生产系统停运。</w:t>
      </w:r>
    </w:p>
    <w:p w14:paraId="4421C7E4">
      <w:pPr>
        <w:keepNext w:val="0"/>
        <w:keepLines w:val="0"/>
        <w:pageBreakBefore w:val="0"/>
        <w:widowControl w:val="0"/>
        <w:kinsoku/>
        <w:wordWrap/>
        <w:overflowPunct/>
        <w:topLinePunct w:val="0"/>
        <w:autoSpaceDE/>
        <w:autoSpaceDN/>
        <w:bidi w:val="0"/>
        <w:adjustRightInd/>
        <w:spacing w:line="240" w:lineRule="auto"/>
        <w:ind w:firstLine="360"/>
        <w:textAlignment w:val="auto"/>
        <w:rPr>
          <w:rFonts w:hint="eastAsia" w:ascii="宋体" w:hAnsi="宋体" w:eastAsia="宋体"/>
          <w:sz w:val="24"/>
          <w:highlight w:val="none"/>
        </w:rPr>
      </w:pPr>
      <w:r>
        <w:rPr>
          <w:rFonts w:hint="eastAsia" w:ascii="宋体" w:hAnsi="宋体" w:eastAsia="宋体"/>
          <w:sz w:val="24"/>
          <w:highlight w:val="none"/>
        </w:rPr>
        <w:t>除地震作用外，厂房地基沉降是影响飞机生产线长期安全运行的另一类重要不利因素。在软土地区或复杂地质条件下，厂房基础在长期荷载、地下水变化及施工扰动等因素作用下，可能产生不均匀沉降。地基沉降虽不具有突发性，但其累积效应会持续作用于上部生产线系统，破坏固定设备与固定工装的基础稳定性，降低AGV工装运行平整度与定位精度，进而诱发关键设备的结构损伤与功能退化。</w:t>
      </w:r>
    </w:p>
    <w:p w14:paraId="4D04EC95">
      <w:pPr>
        <w:keepNext w:val="0"/>
        <w:keepLines w:val="0"/>
        <w:pageBreakBefore w:val="0"/>
        <w:widowControl w:val="0"/>
        <w:kinsoku/>
        <w:wordWrap/>
        <w:overflowPunct/>
        <w:topLinePunct w:val="0"/>
        <w:autoSpaceDE/>
        <w:autoSpaceDN/>
        <w:bidi w:val="0"/>
        <w:adjustRightInd/>
        <w:spacing w:line="240" w:lineRule="auto"/>
        <w:ind w:firstLine="360"/>
        <w:textAlignment w:val="auto"/>
        <w:rPr>
          <w:rFonts w:ascii="宋体" w:hAnsi="宋体" w:eastAsia="宋体"/>
          <w:sz w:val="24"/>
          <w:highlight w:val="none"/>
        </w:rPr>
      </w:pPr>
      <w:r>
        <w:rPr>
          <w:rFonts w:hint="eastAsia" w:ascii="宋体" w:hAnsi="宋体" w:eastAsia="宋体"/>
          <w:sz w:val="24"/>
          <w:highlight w:val="none"/>
        </w:rPr>
        <w:t>因此，在工程实践中，有必要在地震和地基沉降作用下，系统研究飞机生产线关键设备的动力响应特征、损伤机理及功能退化规律，并探索降低不利影响的工程补偿措施，以提升飞机生产线在极端事件和长期服役条件下的安全性与运行可靠性。</w:t>
      </w:r>
    </w:p>
    <w:bookmarkEnd w:id="33"/>
    <w:p w14:paraId="1AF677BB">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项目归属的重点研究领域</w:t>
      </w:r>
    </w:p>
    <w:p w14:paraId="2284D7D8">
      <w:pPr>
        <w:keepNext w:val="0"/>
        <w:keepLines w:val="0"/>
        <w:pageBreakBefore w:val="0"/>
        <w:widowControl w:val="0"/>
        <w:kinsoku/>
        <w:wordWrap/>
        <w:overflowPunct/>
        <w:topLinePunct w:val="0"/>
        <w:autoSpaceDE/>
        <w:autoSpaceDN/>
        <w:bidi w:val="0"/>
        <w:adjustRightInd/>
        <w:spacing w:line="240" w:lineRule="auto"/>
        <w:ind w:firstLine="360"/>
        <w:textAlignment w:val="auto"/>
        <w:rPr>
          <w:rFonts w:hint="eastAsia" w:ascii="宋体" w:hAnsi="宋体" w:eastAsia="宋体"/>
          <w:sz w:val="24"/>
          <w:highlight w:val="none"/>
        </w:rPr>
      </w:pPr>
      <w:r>
        <w:rPr>
          <w:rFonts w:hint="eastAsia" w:ascii="宋体" w:hAnsi="宋体" w:eastAsia="宋体"/>
          <w:sz w:val="24"/>
          <w:highlight w:val="none"/>
        </w:rPr>
        <w:t>冷工艺</w:t>
      </w:r>
    </w:p>
    <w:p w14:paraId="60DD16BB">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项目目标及技术指标</w:t>
      </w:r>
    </w:p>
    <w:p w14:paraId="7C77C4DC">
      <w:pPr>
        <w:keepNext w:val="0"/>
        <w:keepLines w:val="0"/>
        <w:pageBreakBefore w:val="0"/>
        <w:widowControl w:val="0"/>
        <w:kinsoku/>
        <w:wordWrap/>
        <w:overflowPunct/>
        <w:topLinePunct w:val="0"/>
        <w:autoSpaceDE/>
        <w:autoSpaceDN/>
        <w:bidi w:val="0"/>
        <w:adjustRightInd/>
        <w:spacing w:after="0" w:line="240" w:lineRule="auto"/>
        <w:ind w:firstLine="480" w:firstLineChars="200"/>
        <w:textAlignment w:val="auto"/>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项目目标：</w:t>
      </w:r>
    </w:p>
    <w:p w14:paraId="58A70055">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本课题以地震作用和地基沉降作用下飞机生产线关键设备的安全性与可靠性问题为研究对象，围绕固定设备、固定工装和AGV工装等典型关键设备，分别开展地震工况和地基沉降工况下的结构响应与损伤机理研究。</w:t>
      </w:r>
    </w:p>
    <w:p w14:paraId="57450BFF">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宋体" w:hAnsi="宋体" w:eastAsia="宋体"/>
          <w:bCs/>
          <w:sz w:val="24"/>
          <w:highlight w:val="none"/>
        </w:rPr>
      </w:pPr>
      <w:r>
        <w:rPr>
          <w:rFonts w:hint="eastAsia" w:ascii="宋体" w:hAnsi="宋体" w:eastAsia="宋体"/>
          <w:bCs/>
          <w:sz w:val="24"/>
          <w:highlight w:val="none"/>
        </w:rPr>
        <w:t>通过建立飞机生产线关键设备精细化三维数值模型，系统分析地震作用下关键设备的动力响应特征及损伤模式，明确影响其抗震性能的关键因素；同时，针对地基沉降这一长期作用工况，研究不同沉降形式对飞机生产线关键设备结构稳定性和运行精度的影响机理，揭示沉降引发设备性能退化的作用路径。在此基础上，提出降低地震和地基沉降对飞机生产线关键设备不利影响的工程补偿措施，并结合多源验证方法，提高数值仿真分析结果的可信度，为飞机生产线安全评估与运行保障提供理论依据和技术支撑。</w:t>
      </w:r>
    </w:p>
    <w:p w14:paraId="7E09077D">
      <w:pPr>
        <w:keepNext w:val="0"/>
        <w:keepLines w:val="0"/>
        <w:pageBreakBefore w:val="0"/>
        <w:widowControl w:val="0"/>
        <w:kinsoku/>
        <w:wordWrap/>
        <w:overflowPunct/>
        <w:topLinePunct w:val="0"/>
        <w:autoSpaceDE/>
        <w:autoSpaceDN/>
        <w:bidi w:val="0"/>
        <w:adjustRightInd/>
        <w:spacing w:after="0" w:line="240" w:lineRule="auto"/>
        <w:ind w:firstLine="480" w:firstLineChars="200"/>
        <w:textAlignment w:val="auto"/>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技术指标：</w:t>
      </w:r>
    </w:p>
    <w:p w14:paraId="54146CAD">
      <w:pPr>
        <w:keepNext w:val="0"/>
        <w:keepLines w:val="0"/>
        <w:pageBreakBefore w:val="0"/>
        <w:widowControl w:val="0"/>
        <w:numPr>
          <w:ilvl w:val="0"/>
          <w:numId w:val="63"/>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建立飞机生产线关键设备（固定设备、固定工装、AGV工装）精细化三维数值模型不少于 3 套，模型中关键构件（包括连接件、支撑构件、轮组、悬挂系统等）的覆盖率不低于 90%，模型应具备地震作用下动力时程分析能力及地基沉降作用下准静态变形分析能力。在此基础上，明确不少于 4 类飞机生产线关键设备或关键构件的控制响应指标与损伤判据，包括但不限于加速度峰值、相对位移、关键部位应力比及AGV运行偏移量等。</w:t>
      </w:r>
    </w:p>
    <w:p w14:paraId="010735F6">
      <w:pPr>
        <w:keepNext w:val="0"/>
        <w:keepLines w:val="0"/>
        <w:pageBreakBefore w:val="0"/>
        <w:widowControl w:val="0"/>
        <w:numPr>
          <w:ilvl w:val="0"/>
          <w:numId w:val="63"/>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至少完成 1 类飞机生产线典型关键设备或部件的验证工作，采用局部构件试验或小尺度功能性试验、工程试验数据或文献结果对比等方式，对数值仿真结果进行验证。针对加速度、位移或应力等主要控制响应指标，数值仿真结果与验证数据之间的偏差控制在 10% 以内，验证结论能够支持所建立数值模型及分析方法在工程条件下的合理性与适用性。</w:t>
      </w:r>
    </w:p>
    <w:p w14:paraId="0D6F6FD4">
      <w:pPr>
        <w:keepNext w:val="0"/>
        <w:keepLines w:val="0"/>
        <w:pageBreakBefore w:val="0"/>
        <w:widowControl w:val="0"/>
        <w:numPr>
          <w:ilvl w:val="0"/>
          <w:numId w:val="63"/>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针对至少 2 类关键设备提出可实施的设备层面适应或补偿方案，数值分析结果表明：地震或沉降作用下关键响应指标（位移或应力）降低幅度不小于 30%；关键功能指标（姿态偏差、运行误差）改善不小于 30%。</w:t>
      </w:r>
    </w:p>
    <w:p w14:paraId="0BC98C7C">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主要研究内容</w:t>
      </w:r>
    </w:p>
    <w:p w14:paraId="6103257B">
      <w:pPr>
        <w:keepNext w:val="0"/>
        <w:keepLines w:val="0"/>
        <w:pageBreakBefore w:val="0"/>
        <w:widowControl w:val="0"/>
        <w:kinsoku/>
        <w:wordWrap/>
        <w:overflowPunct/>
        <w:topLinePunct w:val="0"/>
        <w:autoSpaceDE/>
        <w:autoSpaceDN/>
        <w:bidi w:val="0"/>
        <w:adjustRightInd/>
        <w:spacing w:line="240" w:lineRule="auto"/>
        <w:ind w:left="0" w:firstLine="480"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拟解决的关键技术</w:t>
      </w:r>
    </w:p>
    <w:p w14:paraId="7BC8EC9B">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本课题通过对飞机生产线中关键设备（如固定设备、固定工装和AGV工装等）进行精细化建模，分析地震作用下不同类型飞机生产线关键设备的动力响应特征，探究飞机生产线关键设备的抗震薄弱部位。同时，针对厂房地基沉降这一独立服役工况对飞机生产线关键设备的结构安全性和运行可靠性造成的不利影响，开展系统研究。</w:t>
      </w:r>
    </w:p>
    <w:p w14:paraId="5BEDA5E3">
      <w:pPr>
        <w:keepNext w:val="0"/>
        <w:keepLines w:val="0"/>
        <w:pageBreakBefore w:val="0"/>
        <w:widowControl w:val="0"/>
        <w:numPr>
          <w:ilvl w:val="0"/>
          <w:numId w:val="64"/>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飞机生产线关键设备精细化数值模拟方法研究</w:t>
      </w:r>
    </w:p>
    <w:p w14:paraId="4472B5A6">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针对飞机生产线中典型的关键设备，如固定设备、固定工装和AGV工装等，综合考虑其结构形式、材料特性、连接方式及与地基的约束关系，建立满足地震作用与地基沉降分析需求的精细化三维数值模型。其中，固定设备与固定工装重点模拟其与地基的连接形式、基础约束特性及连接构件的非线性行为；AGV工装重点模拟车辆—地面接触关系、悬挂系统动力特性及关键功能部件的力学行为。形成适用于飞机生产线关键设备在不同工况下响应分析的统一数值建模与分析方法体系。</w:t>
      </w:r>
    </w:p>
    <w:p w14:paraId="2984FB60">
      <w:pPr>
        <w:keepNext w:val="0"/>
        <w:keepLines w:val="0"/>
        <w:pageBreakBefore w:val="0"/>
        <w:widowControl w:val="0"/>
        <w:numPr>
          <w:ilvl w:val="0"/>
          <w:numId w:val="64"/>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数值仿真分析结果的验证与合理性评估研究</w:t>
      </w:r>
    </w:p>
    <w:p w14:paraId="57F58F55">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为提高数值仿真分析结果的可信度，采用多源验证与合理性评估相结合的方式，对飞机生产线关键设备的数值分析结果进行验证。结合工程实际，开展针对关键部件/典型构造的局部试验或小尺度功能性试验，获取其在地震模拟或沉降模拟工况下的力学响应和变形特征；同时，通过已有的工程试验数据、文献成果及工程案例对比，对数值模拟关键参数和分析结果进行标定与验证。通过仿真结果与试验数据及工程经验的对比分析，验证数值模型与分析方法的合理性和适用性，为研究结论提供可靠支撑。必要时，可通过参数敏感性分析与不确定性分析，对关键假设条件的影响范围进行评估，进一步增强研究结论的工程可靠性。</w:t>
      </w:r>
    </w:p>
    <w:p w14:paraId="7973AC6C">
      <w:pPr>
        <w:keepNext w:val="0"/>
        <w:keepLines w:val="0"/>
        <w:pageBreakBefore w:val="0"/>
        <w:widowControl w:val="0"/>
        <w:numPr>
          <w:ilvl w:val="0"/>
          <w:numId w:val="64"/>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地震作用下飞机生产线关键设备动力响应特征与损伤机理研究</w:t>
      </w:r>
    </w:p>
    <w:p w14:paraId="16E0399A">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比较不同地震动参数（地震动强度、持时及频谱特性）对飞机生产线关键设备响应特征的影响规律。采用典型地震波开展动力时程分析，系统研究地震作用下固定设备和固定工装的加速度、位移及应力响应特征，分析结构变形、连接损伤及精度退化机理；研究AGV工装在地震作用下的运动响应特征，分析行走偏移、轮组受力变化及</w:t>
      </w:r>
      <w:r>
        <w:rPr>
          <w:rFonts w:hint="eastAsia" w:ascii="宋体" w:hAnsi="宋体" w:eastAsia="宋体"/>
          <w:bCs/>
          <w:sz w:val="24"/>
          <w:highlight w:val="none"/>
          <w:lang w:val="en-US" w:eastAsia="zh-CN"/>
        </w:rPr>
        <w:t>上部工装</w:t>
      </w:r>
      <w:r>
        <w:rPr>
          <w:rFonts w:hint="eastAsia" w:ascii="宋体" w:hAnsi="宋体" w:eastAsia="宋体"/>
          <w:bCs/>
          <w:sz w:val="24"/>
          <w:highlight w:val="none"/>
        </w:rPr>
        <w:t>部件潜在失效模式，揭示不同类型关键设备在地震工况下的典型损伤特征及其差异性。</w:t>
      </w:r>
    </w:p>
    <w:p w14:paraId="49818775">
      <w:pPr>
        <w:keepNext w:val="0"/>
        <w:keepLines w:val="0"/>
        <w:pageBreakBefore w:val="0"/>
        <w:widowControl w:val="0"/>
        <w:numPr>
          <w:ilvl w:val="0"/>
          <w:numId w:val="64"/>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地基沉降作用下飞机生产线关键设备响应特征与损伤机理研究</w:t>
      </w:r>
    </w:p>
    <w:p w14:paraId="43638106">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针对地基沉降这一长期服役工况，研究不同沉降形式（均匀沉降、不均匀沉降和差异沉降）对飞机生产线关键设备结构响应和运行性能的影响规律。分析地基沉降对固定设备和固定工装基础稳定性、结构变形及连接状态的影响；研究地基沉降对AGV工装运行平整度、定位精度及</w:t>
      </w:r>
      <w:r>
        <w:rPr>
          <w:rFonts w:hint="eastAsia" w:ascii="宋体" w:hAnsi="宋体" w:eastAsia="宋体"/>
          <w:bCs/>
          <w:sz w:val="24"/>
          <w:highlight w:val="none"/>
          <w:lang w:val="en-US" w:eastAsia="zh-CN"/>
        </w:rPr>
        <w:t>上部工装关键</w:t>
      </w:r>
      <w:r>
        <w:rPr>
          <w:rFonts w:hint="eastAsia" w:ascii="宋体" w:hAnsi="宋体" w:eastAsia="宋体"/>
          <w:bCs/>
          <w:sz w:val="24"/>
          <w:highlight w:val="none"/>
        </w:rPr>
        <w:t>部件受力状态的影响。建立地基沉降作用下关键设备机械损伤与功能退化之间的定量关系模型。</w:t>
      </w:r>
    </w:p>
    <w:p w14:paraId="65E83C2F">
      <w:pPr>
        <w:keepNext w:val="0"/>
        <w:keepLines w:val="0"/>
        <w:pageBreakBefore w:val="0"/>
        <w:widowControl w:val="0"/>
        <w:numPr>
          <w:ilvl w:val="0"/>
          <w:numId w:val="64"/>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面向设备层面的地震与地基沉降不利影响的补偿措施研究</w:t>
      </w:r>
    </w:p>
    <w:p w14:paraId="25AFDFC5">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bCs/>
          <w:sz w:val="24"/>
          <w:highlight w:val="none"/>
        </w:rPr>
      </w:pPr>
      <w:r>
        <w:rPr>
          <w:rFonts w:hint="eastAsia" w:ascii="宋体" w:hAnsi="宋体" w:eastAsia="宋体"/>
          <w:bCs/>
          <w:sz w:val="24"/>
          <w:highlight w:val="none"/>
        </w:rPr>
        <w:t>在分别明确地震作用和地基沉降作用对飞机生产线关键设备影响机理的基础上，从设备与工装层面出发，研究降低地震与地基沉降不利影响的工程适应与补偿措施，包括结构适应性设计、连接构造优化、设备姿态调整及运行参数优化等，为实际工程应用提供技术建议。</w:t>
      </w:r>
    </w:p>
    <w:p w14:paraId="106356F4">
      <w:pPr>
        <w:keepNext w:val="0"/>
        <w:keepLines w:val="0"/>
        <w:pageBreakBefore w:val="0"/>
        <w:widowControl w:val="0"/>
        <w:kinsoku/>
        <w:wordWrap/>
        <w:overflowPunct/>
        <w:topLinePunct w:val="0"/>
        <w:autoSpaceDE/>
        <w:autoSpaceDN/>
        <w:bidi w:val="0"/>
        <w:adjustRightInd/>
        <w:spacing w:line="240" w:lineRule="auto"/>
        <w:ind w:left="0" w:firstLine="480" w:firstLineChars="200"/>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研究结果的验证方式</w:t>
      </w:r>
    </w:p>
    <w:p w14:paraId="45D4047B">
      <w:pPr>
        <w:keepNext w:val="0"/>
        <w:keepLines w:val="0"/>
        <w:pageBreakBefore w:val="0"/>
        <w:widowControl w:val="0"/>
        <w:numPr>
          <w:ilvl w:val="0"/>
          <w:numId w:val="65"/>
        </w:numPr>
        <w:kinsoku/>
        <w:wordWrap/>
        <w:overflowPunct/>
        <w:topLinePunct w:val="0"/>
        <w:autoSpaceDE/>
        <w:autoSpaceDN/>
        <w:bidi w:val="0"/>
        <w:adjustRightInd/>
        <w:spacing w:after="0" w:line="240" w:lineRule="auto"/>
        <w:ind w:firstLine="480" w:firstLineChars="200"/>
        <w:textAlignment w:val="auto"/>
        <w:rPr>
          <w:rFonts w:hint="eastAsia" w:ascii="Times New Roman" w:hAnsi="宋体" w:eastAsia="宋体" w:cs="Times New Roman"/>
          <w:sz w:val="24"/>
          <w:highlight w:val="none"/>
        </w:rPr>
      </w:pPr>
      <w:r>
        <w:rPr>
          <w:rFonts w:hint="eastAsia" w:ascii="Times New Roman" w:hAnsi="宋体" w:eastAsia="宋体" w:cs="Times New Roman"/>
          <w:sz w:val="24"/>
          <w:highlight w:val="none"/>
        </w:rPr>
        <w:t>实物验证；</w:t>
      </w:r>
    </w:p>
    <w:p w14:paraId="6FCE42F3">
      <w:pPr>
        <w:keepNext w:val="0"/>
        <w:keepLines w:val="0"/>
        <w:pageBreakBefore w:val="0"/>
        <w:widowControl w:val="0"/>
        <w:numPr>
          <w:ilvl w:val="0"/>
          <w:numId w:val="65"/>
        </w:numPr>
        <w:kinsoku/>
        <w:wordWrap/>
        <w:overflowPunct/>
        <w:topLinePunct w:val="0"/>
        <w:autoSpaceDE/>
        <w:autoSpaceDN/>
        <w:bidi w:val="0"/>
        <w:adjustRightInd/>
        <w:spacing w:after="0" w:line="240" w:lineRule="auto"/>
        <w:ind w:firstLine="480" w:firstLineChars="200"/>
        <w:textAlignment w:val="auto"/>
        <w:rPr>
          <w:rFonts w:hint="default" w:ascii="Times New Roman" w:hAnsi="宋体" w:eastAsia="宋体" w:cs="Times New Roman"/>
          <w:sz w:val="24"/>
          <w:highlight w:val="none"/>
          <w:lang w:val="en-US" w:eastAsia="zh-CN"/>
        </w:rPr>
      </w:pPr>
      <w:r>
        <w:rPr>
          <w:rFonts w:hint="eastAsia" w:ascii="Times New Roman" w:hAnsi="宋体" w:eastAsia="宋体" w:cs="Times New Roman"/>
          <w:sz w:val="24"/>
          <w:highlight w:val="none"/>
          <w:lang w:val="en-US" w:eastAsia="zh-CN"/>
        </w:rPr>
        <w:t>仿真验证。</w:t>
      </w:r>
    </w:p>
    <w:p w14:paraId="15C157DA">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预期成果</w:t>
      </w:r>
    </w:p>
    <w:p w14:paraId="15A8F09A">
      <w:pPr>
        <w:keepNext w:val="0"/>
        <w:keepLines w:val="0"/>
        <w:pageBreakBefore w:val="0"/>
        <w:widowControl w:val="0"/>
        <w:numPr>
          <w:ilvl w:val="0"/>
          <w:numId w:val="66"/>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飞机生产线关键设备（固定设备、固定工装和AGV工装）精细化三维数值模型各</w:t>
      </w:r>
      <w:r>
        <w:rPr>
          <w:rFonts w:hint="eastAsia" w:ascii="Times New Roman" w:hAnsi="宋体" w:eastAsia="宋体" w:cs="Times New Roman"/>
          <w:sz w:val="24"/>
          <w:szCs w:val="24"/>
          <w:highlight w:val="none"/>
          <w:lang w:val="en-US" w:eastAsia="zh-CN"/>
        </w:rPr>
        <w:t>1</w:t>
      </w:r>
      <w:r>
        <w:rPr>
          <w:rFonts w:hint="eastAsia" w:ascii="Times New Roman" w:hAnsi="宋体" w:eastAsia="宋体" w:cs="Times New Roman"/>
          <w:sz w:val="24"/>
          <w:szCs w:val="24"/>
          <w:highlight w:val="none"/>
        </w:rPr>
        <w:t>套。</w:t>
      </w:r>
    </w:p>
    <w:p w14:paraId="05BBB9FF">
      <w:pPr>
        <w:keepNext w:val="0"/>
        <w:keepLines w:val="0"/>
        <w:pageBreakBefore w:val="0"/>
        <w:widowControl w:val="0"/>
        <w:numPr>
          <w:ilvl w:val="0"/>
          <w:numId w:val="66"/>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《地震作用下飞机生产线关键设备动力响应与损伤机理分析报告》</w:t>
      </w:r>
      <w:r>
        <w:rPr>
          <w:rFonts w:hint="eastAsia" w:ascii="Times New Roman" w:hAnsi="宋体" w:eastAsia="宋体" w:cs="Times New Roman"/>
          <w:sz w:val="24"/>
          <w:szCs w:val="24"/>
          <w:highlight w:val="none"/>
          <w:lang w:val="en-US" w:eastAsia="zh-CN"/>
        </w:rPr>
        <w:t>研究</w:t>
      </w:r>
      <w:r>
        <w:rPr>
          <w:rFonts w:hint="eastAsia" w:ascii="Times New Roman" w:hAnsi="宋体" w:eastAsia="宋体" w:cs="Times New Roman"/>
          <w:sz w:val="24"/>
          <w:szCs w:val="24"/>
          <w:highlight w:val="none"/>
        </w:rPr>
        <w:t>报告</w:t>
      </w:r>
      <w:r>
        <w:rPr>
          <w:rFonts w:hint="eastAsia" w:ascii="Times New Roman" w:hAnsi="宋体" w:eastAsia="宋体" w:cs="Times New Roman"/>
          <w:sz w:val="24"/>
          <w:szCs w:val="24"/>
          <w:highlight w:val="none"/>
          <w:lang w:val="en-US" w:eastAsia="zh-CN"/>
        </w:rPr>
        <w:t>1</w:t>
      </w:r>
      <w:r>
        <w:rPr>
          <w:rFonts w:hint="eastAsia" w:ascii="Times New Roman" w:hAnsi="宋体" w:eastAsia="宋体" w:cs="Times New Roman"/>
          <w:sz w:val="24"/>
          <w:szCs w:val="24"/>
          <w:highlight w:val="none"/>
        </w:rPr>
        <w:t>份。</w:t>
      </w:r>
    </w:p>
    <w:p w14:paraId="02A58A72">
      <w:pPr>
        <w:keepNext w:val="0"/>
        <w:keepLines w:val="0"/>
        <w:pageBreakBefore w:val="0"/>
        <w:widowControl w:val="0"/>
        <w:numPr>
          <w:ilvl w:val="0"/>
          <w:numId w:val="66"/>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《地基沉降作用下飞机生产线关键设备影响机理及补偿技术研究》</w:t>
      </w:r>
      <w:r>
        <w:rPr>
          <w:rFonts w:hint="eastAsia" w:ascii="Times New Roman" w:hAnsi="宋体" w:eastAsia="宋体" w:cs="Times New Roman"/>
          <w:sz w:val="24"/>
          <w:szCs w:val="24"/>
          <w:highlight w:val="none"/>
          <w:lang w:val="en-US" w:eastAsia="zh-CN"/>
        </w:rPr>
        <w:t>研究</w:t>
      </w:r>
      <w:r>
        <w:rPr>
          <w:rFonts w:hint="eastAsia" w:ascii="Times New Roman" w:hAnsi="宋体" w:eastAsia="宋体" w:cs="Times New Roman"/>
          <w:sz w:val="24"/>
          <w:szCs w:val="24"/>
          <w:highlight w:val="none"/>
        </w:rPr>
        <w:t>报告</w:t>
      </w:r>
      <w:r>
        <w:rPr>
          <w:rFonts w:hint="eastAsia" w:ascii="Times New Roman" w:hAnsi="宋体" w:eastAsia="宋体" w:cs="Times New Roman"/>
          <w:sz w:val="24"/>
          <w:szCs w:val="24"/>
          <w:highlight w:val="none"/>
          <w:lang w:val="en-US" w:eastAsia="zh-CN"/>
        </w:rPr>
        <w:t>1</w:t>
      </w:r>
      <w:r>
        <w:rPr>
          <w:rFonts w:hint="eastAsia" w:ascii="Times New Roman" w:hAnsi="宋体" w:eastAsia="宋体" w:cs="Times New Roman"/>
          <w:sz w:val="24"/>
          <w:szCs w:val="24"/>
          <w:highlight w:val="none"/>
        </w:rPr>
        <w:t>份。</w:t>
      </w:r>
    </w:p>
    <w:p w14:paraId="1E541D2D">
      <w:pPr>
        <w:keepNext w:val="0"/>
        <w:keepLines w:val="0"/>
        <w:pageBreakBefore w:val="0"/>
        <w:widowControl w:val="0"/>
        <w:numPr>
          <w:ilvl w:val="0"/>
          <w:numId w:val="66"/>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rPr>
        <w:t>申请发明专利1</w:t>
      </w:r>
      <w:r>
        <w:rPr>
          <w:rFonts w:hint="eastAsia" w:ascii="Times New Roman" w:hAnsi="宋体" w:eastAsia="宋体" w:cs="Times New Roman"/>
          <w:sz w:val="24"/>
          <w:szCs w:val="24"/>
          <w:highlight w:val="none"/>
          <w:lang w:val="en-US" w:eastAsia="zh-CN"/>
        </w:rPr>
        <w:t>-</w:t>
      </w:r>
      <w:r>
        <w:rPr>
          <w:rFonts w:hint="eastAsia" w:ascii="Times New Roman" w:hAnsi="宋体" w:eastAsia="宋体" w:cs="Times New Roman"/>
          <w:sz w:val="24"/>
          <w:szCs w:val="24"/>
          <w:highlight w:val="none"/>
        </w:rPr>
        <w:t>2</w:t>
      </w:r>
      <w:r>
        <w:rPr>
          <w:rFonts w:hint="eastAsia" w:ascii="Times New Roman" w:hAnsi="宋体" w:eastAsia="宋体" w:cs="Times New Roman"/>
          <w:sz w:val="24"/>
          <w:szCs w:val="24"/>
          <w:highlight w:val="none"/>
          <w:lang w:val="en-US" w:eastAsia="zh-CN"/>
        </w:rPr>
        <w:t>项</w:t>
      </w:r>
      <w:r>
        <w:rPr>
          <w:rFonts w:hint="eastAsia" w:ascii="Times New Roman" w:hAnsi="宋体" w:eastAsia="宋体" w:cs="Times New Roman"/>
          <w:sz w:val="24"/>
          <w:szCs w:val="24"/>
          <w:highlight w:val="none"/>
        </w:rPr>
        <w:t>；</w:t>
      </w:r>
    </w:p>
    <w:p w14:paraId="00724C81">
      <w:pPr>
        <w:keepNext w:val="0"/>
        <w:keepLines w:val="0"/>
        <w:pageBreakBefore w:val="0"/>
        <w:widowControl w:val="0"/>
        <w:numPr>
          <w:ilvl w:val="0"/>
          <w:numId w:val="66"/>
        </w:numPr>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sz w:val="24"/>
          <w:szCs w:val="24"/>
          <w:highlight w:val="none"/>
        </w:rPr>
      </w:pPr>
      <w:r>
        <w:rPr>
          <w:rFonts w:hint="eastAsia" w:ascii="Times New Roman" w:hAnsi="宋体" w:eastAsia="宋体" w:cs="Times New Roman"/>
          <w:sz w:val="24"/>
          <w:szCs w:val="24"/>
          <w:highlight w:val="none"/>
          <w:lang w:val="en-US" w:eastAsia="zh-CN"/>
        </w:rPr>
        <w:t>发表</w:t>
      </w:r>
      <w:r>
        <w:rPr>
          <w:rFonts w:hint="eastAsia" w:ascii="Times New Roman" w:hAnsi="宋体" w:eastAsia="宋体" w:cs="Times New Roman"/>
          <w:sz w:val="24"/>
          <w:szCs w:val="24"/>
          <w:highlight w:val="none"/>
        </w:rPr>
        <w:t>论文</w:t>
      </w:r>
      <w:r>
        <w:rPr>
          <w:rFonts w:hint="eastAsia" w:ascii="Times New Roman" w:hAnsi="宋体" w:eastAsia="宋体" w:cs="Times New Roman"/>
          <w:sz w:val="24"/>
          <w:szCs w:val="24"/>
          <w:highlight w:val="none"/>
          <w:lang w:val="en-US" w:eastAsia="zh-CN"/>
        </w:rPr>
        <w:t>1-</w:t>
      </w:r>
      <w:r>
        <w:rPr>
          <w:rFonts w:hint="eastAsia" w:ascii="Times New Roman" w:hAnsi="宋体" w:eastAsia="宋体" w:cs="Times New Roman"/>
          <w:sz w:val="24"/>
          <w:szCs w:val="24"/>
          <w:highlight w:val="none"/>
        </w:rPr>
        <w:t>2篇。</w:t>
      </w:r>
    </w:p>
    <w:p w14:paraId="089BE81B">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建议研究周期</w:t>
      </w:r>
    </w:p>
    <w:p w14:paraId="2B585249">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ascii="宋体" w:hAnsi="宋体" w:eastAsia="宋体"/>
          <w:bCs/>
          <w:sz w:val="24"/>
          <w:highlight w:val="none"/>
        </w:rPr>
      </w:pPr>
      <w:r>
        <w:rPr>
          <w:rFonts w:hint="eastAsia" w:ascii="宋体" w:hAnsi="宋体" w:eastAsia="宋体"/>
          <w:bCs/>
          <w:sz w:val="24"/>
          <w:highlight w:val="none"/>
          <w:lang w:val="en-US" w:eastAsia="zh-CN"/>
        </w:rPr>
        <w:t>24</w:t>
      </w:r>
      <w:r>
        <w:rPr>
          <w:rFonts w:hint="eastAsia" w:ascii="宋体" w:hAnsi="宋体" w:eastAsia="宋体"/>
          <w:bCs/>
          <w:sz w:val="24"/>
          <w:highlight w:val="none"/>
        </w:rPr>
        <w:t>月</w:t>
      </w:r>
    </w:p>
    <w:p w14:paraId="0D732E57">
      <w:pPr>
        <w:keepNext w:val="0"/>
        <w:keepLines w:val="0"/>
        <w:pageBreakBefore w:val="0"/>
        <w:widowControl w:val="0"/>
        <w:numPr>
          <w:ilvl w:val="0"/>
          <w:numId w:val="62"/>
        </w:numPr>
        <w:kinsoku/>
        <w:wordWrap/>
        <w:overflowPunct/>
        <w:topLinePunct w:val="0"/>
        <w:autoSpaceDE/>
        <w:autoSpaceDN/>
        <w:bidi w:val="0"/>
        <w:adjustRightInd/>
        <w:spacing w:after="0" w:line="240" w:lineRule="auto"/>
        <w:ind w:left="5" w:leftChars="0"/>
        <w:textAlignment w:val="auto"/>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所需研究经费</w:t>
      </w:r>
    </w:p>
    <w:p w14:paraId="1297ACE3">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outlineLvl w:val="9"/>
        <w:rPr>
          <w:rFonts w:hint="eastAsia" w:ascii="Times New Roman" w:hAnsi="宋体" w:eastAsia="宋体" w:cs="Times New Roman"/>
          <w:bCs/>
          <w:sz w:val="24"/>
          <w:szCs w:val="24"/>
          <w:highlight w:val="none"/>
        </w:rPr>
      </w:pPr>
      <w:r>
        <w:rPr>
          <w:rFonts w:hint="eastAsia" w:ascii="宋体" w:hAnsi="宋体" w:eastAsia="宋体"/>
          <w:bCs/>
          <w:sz w:val="24"/>
          <w:highlight w:val="none"/>
          <w:lang w:val="en-US" w:eastAsia="zh-CN"/>
        </w:rPr>
        <w:t>50</w:t>
      </w:r>
      <w:r>
        <w:rPr>
          <w:rFonts w:hint="eastAsia" w:ascii="宋体" w:hAnsi="宋体" w:eastAsia="宋体"/>
          <w:bCs/>
          <w:sz w:val="24"/>
          <w:highlight w:val="none"/>
        </w:rPr>
        <w:t>万元。</w:t>
      </w:r>
    </w:p>
    <w:p w14:paraId="6F413C6B">
      <w:pPr>
        <w:pStyle w:val="8"/>
        <w:pageBreakBefore w:val="0"/>
        <w:kinsoku/>
        <w:wordWrap/>
        <w:overflowPunct/>
        <w:topLinePunct w:val="0"/>
        <w:autoSpaceDE/>
        <w:autoSpaceDN/>
        <w:bidi w:val="0"/>
        <w:adjustRightInd/>
        <w:spacing w:line="240" w:lineRule="auto"/>
        <w:rPr>
          <w:rFonts w:hint="eastAsia"/>
          <w:highlight w:val="none"/>
          <w:lang w:val="en-US" w:eastAsia="zh-CN"/>
        </w:rPr>
      </w:pPr>
    </w:p>
    <w:p w14:paraId="29312E30">
      <w:pPr>
        <w:pStyle w:val="8"/>
        <w:pageBreakBefore w:val="0"/>
        <w:kinsoku/>
        <w:wordWrap/>
        <w:overflowPunct/>
        <w:topLinePunct w:val="0"/>
        <w:autoSpaceDE/>
        <w:autoSpaceDN/>
        <w:bidi w:val="0"/>
        <w:adjustRightInd/>
        <w:spacing w:line="240" w:lineRule="auto"/>
        <w:rPr>
          <w:rFonts w:hint="eastAsia"/>
          <w:highlight w:val="none"/>
          <w:lang w:val="en-US" w:eastAsia="zh-CN"/>
        </w:rPr>
      </w:pPr>
    </w:p>
    <w:p w14:paraId="0D74870A">
      <w:pPr>
        <w:pStyle w:val="8"/>
        <w:pageBreakBefore w:val="0"/>
        <w:kinsoku/>
        <w:wordWrap/>
        <w:overflowPunct/>
        <w:topLinePunct w:val="0"/>
        <w:autoSpaceDE/>
        <w:autoSpaceDN/>
        <w:bidi w:val="0"/>
        <w:adjustRightInd/>
        <w:spacing w:line="240" w:lineRule="auto"/>
        <w:ind w:left="0" w:leftChars="0" w:firstLine="0" w:firstLineChars="0"/>
        <w:jc w:val="both"/>
        <w:rPr>
          <w:highlight w:val="none"/>
        </w:rPr>
        <w:sectPr>
          <w:pgSz w:w="11906" w:h="16838"/>
          <w:pgMar w:top="1440" w:right="1800" w:bottom="1440" w:left="1800" w:header="851" w:footer="992" w:gutter="0"/>
          <w:cols w:space="425" w:num="1"/>
          <w:docGrid w:type="lines" w:linePitch="312" w:charSpace="0"/>
        </w:sectPr>
      </w:pPr>
    </w:p>
    <w:p w14:paraId="5E6DBE9A">
      <w:pPr>
        <w:pStyle w:val="2"/>
        <w:pageBreakBefore w:val="0"/>
        <w:kinsoku/>
        <w:wordWrap/>
        <w:overflowPunct/>
        <w:topLinePunct w:val="0"/>
        <w:autoSpaceDE/>
        <w:autoSpaceDN/>
        <w:bidi w:val="0"/>
        <w:adjustRightInd/>
        <w:spacing w:line="240" w:lineRule="auto"/>
        <w:rPr>
          <w:rFonts w:hint="eastAsia" w:ascii="Times New Roman" w:hAnsi="Times New Roman" w:eastAsia="宋体" w:cs="Times New Roman"/>
          <w:highlight w:val="none"/>
          <w:lang w:val="en-US" w:eastAsia="zh-CN"/>
        </w:rPr>
      </w:pPr>
      <w:bookmarkStart w:id="34" w:name="_Toc27744"/>
      <w:bookmarkStart w:id="35" w:name="_Toc5140"/>
      <w:r>
        <w:rPr>
          <w:rFonts w:hint="eastAsia" w:ascii="Times New Roman" w:hAnsi="Times New Roman" w:eastAsia="宋体" w:cs="Times New Roman"/>
          <w:highlight w:val="none"/>
          <w:lang w:val="en-US" w:eastAsia="zh-CN"/>
        </w:rPr>
        <w:t>基于电容感测的复材结构装配间隙快速检测技术研究</w:t>
      </w:r>
      <w:bookmarkEnd w:id="34"/>
      <w:bookmarkEnd w:id="35"/>
    </w:p>
    <w:p w14:paraId="55FDABF1">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项目背景</w:t>
      </w:r>
    </w:p>
    <w:p w14:paraId="02E2AB3F">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目前宽体型号</w:t>
      </w:r>
      <w:r>
        <w:rPr>
          <w:rFonts w:hint="eastAsia" w:asciiTheme="minorEastAsia" w:hAnsiTheme="minorEastAsia" w:eastAsiaTheme="minorEastAsia" w:cstheme="minorEastAsia"/>
          <w:sz w:val="24"/>
          <w:szCs w:val="24"/>
          <w:highlight w:val="none"/>
          <w:lang w:val="en-US" w:eastAsia="zh-CN"/>
        </w:rPr>
        <w:t>飞机将</w:t>
      </w:r>
      <w:r>
        <w:rPr>
          <w:rFonts w:hint="eastAsia" w:asciiTheme="minorEastAsia" w:hAnsiTheme="minorEastAsia" w:eastAsiaTheme="minorEastAsia" w:cstheme="minorEastAsia"/>
          <w:sz w:val="24"/>
          <w:szCs w:val="24"/>
          <w:highlight w:val="none"/>
        </w:rPr>
        <w:t>大量采用复材结构，在复材结构装配</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如机身筒段对接等</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w:t>
      </w:r>
      <w:r>
        <w:rPr>
          <w:rFonts w:hint="eastAsia" w:asciiTheme="minorEastAsia" w:hAnsiTheme="minorEastAsia" w:eastAsiaTheme="minorEastAsia" w:cstheme="minorEastAsia"/>
          <w:sz w:val="24"/>
          <w:szCs w:val="24"/>
          <w:highlight w:val="none"/>
        </w:rPr>
        <w:t>，由于零件成型、组部段装配累积误差，</w:t>
      </w:r>
      <w:r>
        <w:rPr>
          <w:rFonts w:hint="eastAsia" w:asciiTheme="minorEastAsia" w:hAnsiTheme="minorEastAsia" w:eastAsiaTheme="minorEastAsia" w:cstheme="minorEastAsia"/>
          <w:sz w:val="24"/>
          <w:szCs w:val="24"/>
          <w:highlight w:val="none"/>
          <w:lang w:val="en-US" w:eastAsia="zh-CN"/>
        </w:rPr>
        <w:t>装配配合面间易产生间隙</w:t>
      </w:r>
      <w:r>
        <w:rPr>
          <w:rFonts w:hint="eastAsia" w:asciiTheme="minorEastAsia" w:hAnsiTheme="minorEastAsia" w:eastAsiaTheme="minorEastAsia" w:cstheme="minorEastAsia"/>
          <w:sz w:val="24"/>
          <w:szCs w:val="24"/>
          <w:highlight w:val="none"/>
        </w:rPr>
        <w:t>，为尽可能减少复材装配中产生的装配应力，需要对装配中存在的各类间隙进行精准快速测量（包括间隙尺寸与分布情况），以便于后续的工程评估及加垫补偿。由于大量结构</w:t>
      </w:r>
      <w:r>
        <w:rPr>
          <w:rFonts w:hint="eastAsia" w:asciiTheme="minorEastAsia" w:hAnsiTheme="minorEastAsia" w:eastAsiaTheme="minorEastAsia" w:cstheme="minorEastAsia"/>
          <w:sz w:val="24"/>
          <w:szCs w:val="24"/>
          <w:highlight w:val="none"/>
          <w:lang w:val="en-US" w:eastAsia="zh-CN"/>
        </w:rPr>
        <w:t>位于</w:t>
      </w:r>
      <w:r>
        <w:rPr>
          <w:rFonts w:hint="eastAsia" w:asciiTheme="minorEastAsia" w:hAnsiTheme="minorEastAsia" w:eastAsiaTheme="minorEastAsia" w:cstheme="minorEastAsia"/>
          <w:sz w:val="24"/>
          <w:szCs w:val="24"/>
          <w:highlight w:val="none"/>
        </w:rPr>
        <w:t>封闭区域，传统的塞尺等方式难以实现测量区域可达</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且无法对其中的间隙分布输出</w:t>
      </w:r>
      <w:r>
        <w:rPr>
          <w:rFonts w:hint="eastAsia" w:asciiTheme="minorEastAsia" w:hAnsiTheme="minorEastAsia" w:eastAsiaTheme="minorEastAsia" w:cstheme="minorEastAsia"/>
          <w:sz w:val="24"/>
          <w:szCs w:val="24"/>
          <w:highlight w:val="none"/>
          <w:lang w:val="en-US" w:eastAsia="zh-CN"/>
        </w:rPr>
        <w:t>准确结果。因此，</w:t>
      </w:r>
      <w:r>
        <w:rPr>
          <w:rFonts w:hint="eastAsia" w:asciiTheme="minorEastAsia" w:hAnsiTheme="minorEastAsia" w:eastAsiaTheme="minorEastAsia" w:cstheme="minorEastAsia"/>
          <w:sz w:val="24"/>
          <w:szCs w:val="24"/>
          <w:highlight w:val="none"/>
        </w:rPr>
        <w:t>需要一种可以在结构外部就能对两层或多层材料间的不规则厚度间隙进行检测的测量工具及方法，以实现装配过程中对于结构间隙的有效检测，为后续结构加垫提供数据支撑，减少装配残余应力，提高飞机服役性能。</w:t>
      </w:r>
    </w:p>
    <w:p w14:paraId="16FFF664">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项目归属的重点专业领域</w:t>
      </w:r>
    </w:p>
    <w:p w14:paraId="37664799">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冷工艺</w:t>
      </w:r>
    </w:p>
    <w:p w14:paraId="2884EBCF">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项目目标及技术指标</w:t>
      </w:r>
    </w:p>
    <w:p w14:paraId="0732C564">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 xml:space="preserve">项目目标： </w:t>
      </w:r>
    </w:p>
    <w:p w14:paraId="6BDF83B7">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面向民机</w:t>
      </w:r>
      <w:r>
        <w:rPr>
          <w:rFonts w:hint="eastAsia" w:asciiTheme="minorEastAsia" w:hAnsiTheme="minorEastAsia" w:eastAsiaTheme="minorEastAsia" w:cstheme="minorEastAsia"/>
          <w:sz w:val="24"/>
          <w:szCs w:val="24"/>
          <w:highlight w:val="none"/>
          <w:lang w:val="en-US" w:eastAsia="zh-CN"/>
        </w:rPr>
        <w:t>复杂封闭曲面复材结构装配间隙测量</w:t>
      </w:r>
      <w:r>
        <w:rPr>
          <w:rFonts w:hint="eastAsia" w:asciiTheme="minorEastAsia" w:hAnsiTheme="minorEastAsia" w:eastAsiaTheme="minorEastAsia" w:cstheme="minorEastAsia"/>
          <w:sz w:val="24"/>
          <w:szCs w:val="24"/>
          <w:highlight w:val="none"/>
        </w:rPr>
        <w:t>需求，</w:t>
      </w:r>
      <w:r>
        <w:rPr>
          <w:rFonts w:hint="eastAsia" w:asciiTheme="minorEastAsia" w:hAnsiTheme="minorEastAsia" w:eastAsiaTheme="minorEastAsia" w:cstheme="minorEastAsia"/>
          <w:sz w:val="24"/>
          <w:szCs w:val="24"/>
          <w:highlight w:val="none"/>
          <w:lang w:val="en-US" w:eastAsia="zh-CN"/>
        </w:rPr>
        <w:t>研发一套基于共面电容感测原理的高精度间隙检测系统。通过构建适用于复杂曲面与封闭空间的电容传感器结构，建立复材-空气间隙的电容响应模型与定量评估方法，形成可快速部署的间隙检测系统，实现对微小空气间隙的快速识别、定位与测量，突破传统无损测量技术在曲面适应性、微小间隙灵敏度以及现场实施性方面的瓶颈，为大飞机复材结构装配质量控制提供可靠的技术手段。</w:t>
      </w:r>
    </w:p>
    <w:p w14:paraId="7486B484">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技术指标：</w:t>
      </w:r>
    </w:p>
    <w:p w14:paraId="5EA68462">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本技术适合于C929等大型民机的复杂封闭曲面复材结构间隙</w:t>
      </w:r>
      <w:r>
        <w:rPr>
          <w:rFonts w:hint="eastAsia" w:asciiTheme="minorEastAsia" w:hAnsiTheme="minorEastAsia" w:eastAsiaTheme="minorEastAsia" w:cstheme="minorEastAsia"/>
          <w:sz w:val="24"/>
          <w:szCs w:val="24"/>
          <w:highlight w:val="none"/>
          <w:lang w:eastAsia="zh-CN"/>
        </w:rPr>
        <w:t>快速</w:t>
      </w:r>
      <w:r>
        <w:rPr>
          <w:rFonts w:hint="eastAsia" w:asciiTheme="minorEastAsia" w:hAnsiTheme="minorEastAsia" w:eastAsiaTheme="minorEastAsia" w:cstheme="minorEastAsia"/>
          <w:sz w:val="24"/>
          <w:szCs w:val="24"/>
          <w:highlight w:val="none"/>
        </w:rPr>
        <w:t>检测，具体技术指标如下：</w:t>
      </w:r>
    </w:p>
    <w:p w14:paraId="3D5958FF">
      <w:pPr>
        <w:keepNext w:val="0"/>
        <w:keepLines w:val="0"/>
        <w:pageBreakBefore w:val="0"/>
        <w:widowControl w:val="0"/>
        <w:numPr>
          <w:ilvl w:val="0"/>
          <w:numId w:val="68"/>
        </w:numPr>
        <w:kinsoku/>
        <w:wordWrap/>
        <w:overflowPunct/>
        <w:topLinePunct w:val="0"/>
        <w:autoSpaceDE/>
        <w:autoSpaceDN/>
        <w:bidi w:val="0"/>
        <w:adjustRightInd/>
        <w:snapToGrid w:val="0"/>
        <w:spacing w:line="240" w:lineRule="auto"/>
        <w:ind w:left="0" w:firstLine="480" w:firstLineChars="200"/>
        <w:contextualSpacing/>
        <w:outlineLvl w:val="9"/>
        <w:rPr>
          <w:rFonts w:hint="eastAsia" w:cs="黑体" w:asciiTheme="minorEastAsia" w:hAnsiTheme="minorEastAsia" w:eastAsiaTheme="minorEastAsia"/>
          <w:sz w:val="24"/>
          <w:szCs w:val="22"/>
          <w:highlight w:val="none"/>
          <w:lang w:val="en-US" w:eastAsia="zh-CN"/>
        </w:rPr>
      </w:pPr>
      <w:r>
        <w:rPr>
          <w:rFonts w:hint="eastAsia" w:cs="黑体" w:asciiTheme="minorEastAsia" w:hAnsiTheme="minorEastAsia" w:eastAsiaTheme="minorEastAsia"/>
          <w:sz w:val="24"/>
          <w:szCs w:val="22"/>
          <w:highlight w:val="none"/>
          <w:lang w:val="en-US" w:eastAsia="zh-CN"/>
        </w:rPr>
        <w:t>间隙测量精度：优于0.1mm</w:t>
      </w:r>
    </w:p>
    <w:p w14:paraId="3C3D3531">
      <w:pPr>
        <w:keepNext w:val="0"/>
        <w:keepLines w:val="0"/>
        <w:pageBreakBefore w:val="0"/>
        <w:widowControl w:val="0"/>
        <w:numPr>
          <w:ilvl w:val="0"/>
          <w:numId w:val="68"/>
        </w:numPr>
        <w:kinsoku/>
        <w:wordWrap/>
        <w:overflowPunct/>
        <w:topLinePunct w:val="0"/>
        <w:autoSpaceDE/>
        <w:autoSpaceDN/>
        <w:bidi w:val="0"/>
        <w:adjustRightInd/>
        <w:snapToGrid w:val="0"/>
        <w:spacing w:line="240" w:lineRule="auto"/>
        <w:ind w:left="0" w:firstLine="480" w:firstLineChars="200"/>
        <w:contextualSpacing/>
        <w:outlineLvl w:val="9"/>
        <w:rPr>
          <w:rFonts w:hint="eastAsia" w:cs="黑体" w:asciiTheme="minorEastAsia" w:hAnsiTheme="minorEastAsia" w:eastAsiaTheme="minorEastAsia"/>
          <w:sz w:val="24"/>
          <w:szCs w:val="22"/>
          <w:highlight w:val="none"/>
          <w:lang w:val="en-US" w:eastAsia="zh-CN"/>
        </w:rPr>
      </w:pPr>
      <w:r>
        <w:rPr>
          <w:rFonts w:hint="eastAsia" w:cs="黑体" w:asciiTheme="minorEastAsia" w:hAnsiTheme="minorEastAsia" w:eastAsiaTheme="minorEastAsia"/>
          <w:sz w:val="24"/>
          <w:szCs w:val="22"/>
          <w:highlight w:val="none"/>
          <w:lang w:val="en-US" w:eastAsia="zh-CN"/>
        </w:rPr>
        <w:t>设备末端重量：不超过10kg</w:t>
      </w:r>
    </w:p>
    <w:p w14:paraId="2DD178DE">
      <w:pPr>
        <w:keepNext w:val="0"/>
        <w:keepLines w:val="0"/>
        <w:pageBreakBefore w:val="0"/>
        <w:widowControl w:val="0"/>
        <w:numPr>
          <w:ilvl w:val="0"/>
          <w:numId w:val="68"/>
        </w:numPr>
        <w:kinsoku/>
        <w:wordWrap/>
        <w:overflowPunct/>
        <w:topLinePunct w:val="0"/>
        <w:autoSpaceDE/>
        <w:autoSpaceDN/>
        <w:bidi w:val="0"/>
        <w:adjustRightInd/>
        <w:snapToGrid w:val="0"/>
        <w:spacing w:line="240" w:lineRule="auto"/>
        <w:ind w:left="0" w:firstLine="480" w:firstLineChars="200"/>
        <w:contextualSpacing/>
        <w:outlineLvl w:val="9"/>
        <w:rPr>
          <w:rFonts w:hint="eastAsia" w:cs="黑体" w:asciiTheme="minorEastAsia" w:hAnsiTheme="minorEastAsia" w:eastAsiaTheme="minorEastAsia"/>
          <w:sz w:val="24"/>
          <w:szCs w:val="22"/>
          <w:highlight w:val="none"/>
          <w:lang w:val="en-US" w:eastAsia="zh-CN"/>
        </w:rPr>
      </w:pPr>
      <w:r>
        <w:rPr>
          <w:rFonts w:hint="eastAsia" w:cs="黑体" w:asciiTheme="minorEastAsia" w:hAnsiTheme="minorEastAsia" w:eastAsiaTheme="minorEastAsia"/>
          <w:sz w:val="24"/>
          <w:szCs w:val="22"/>
          <w:highlight w:val="none"/>
          <w:lang w:val="en-US" w:eastAsia="zh-CN"/>
        </w:rPr>
        <w:t>技术成熟度达到TRL4</w:t>
      </w:r>
    </w:p>
    <w:p w14:paraId="644BD999">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主要研究内容</w:t>
      </w:r>
    </w:p>
    <w:p w14:paraId="22D51E67">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拟解决的关键技术</w:t>
      </w:r>
    </w:p>
    <w:p w14:paraId="15BDA393">
      <w:pPr>
        <w:pStyle w:val="16"/>
        <w:keepNext w:val="0"/>
        <w:keepLines w:val="0"/>
        <w:pageBreakBefore w:val="0"/>
        <w:widowControl w:val="0"/>
        <w:numPr>
          <w:ilvl w:val="0"/>
          <w:numId w:val="69"/>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复杂封闭曲面结构的多尺度间隙电容建模与电场调控技术</w:t>
      </w:r>
    </w:p>
    <w:p w14:paraId="4A380775">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建立面向封闭曲面</w:t>
      </w:r>
      <w:r>
        <w:rPr>
          <w:rFonts w:hint="eastAsia" w:asciiTheme="minorEastAsia" w:hAnsiTheme="minorEastAsia" w:eastAsiaTheme="minorEastAsia" w:cstheme="minorEastAsia"/>
          <w:sz w:val="24"/>
          <w:szCs w:val="24"/>
          <w:highlight w:val="none"/>
          <w:lang w:val="en-US" w:eastAsia="zh-CN"/>
        </w:rPr>
        <w:t>复材</w:t>
      </w:r>
      <w:r>
        <w:rPr>
          <w:rFonts w:hint="eastAsia" w:asciiTheme="minorEastAsia" w:hAnsiTheme="minorEastAsia" w:eastAsiaTheme="minorEastAsia" w:cstheme="minorEastAsia"/>
          <w:sz w:val="24"/>
          <w:szCs w:val="24"/>
          <w:highlight w:val="none"/>
        </w:rPr>
        <w:t>结构的参数化</w:t>
      </w:r>
      <w:r>
        <w:rPr>
          <w:rFonts w:hint="eastAsia" w:asciiTheme="minorEastAsia" w:hAnsiTheme="minorEastAsia" w:eastAsiaTheme="minorEastAsia" w:cstheme="minorEastAsia"/>
          <w:sz w:val="24"/>
          <w:szCs w:val="24"/>
          <w:highlight w:val="none"/>
          <w:lang w:val="en-US" w:eastAsia="zh-CN"/>
        </w:rPr>
        <w:t>间隙</w:t>
      </w:r>
      <w:r>
        <w:rPr>
          <w:rFonts w:hint="eastAsia" w:asciiTheme="minorEastAsia" w:hAnsiTheme="minorEastAsia" w:eastAsiaTheme="minorEastAsia" w:cstheme="minorEastAsia"/>
          <w:sz w:val="24"/>
          <w:szCs w:val="24"/>
          <w:highlight w:val="none"/>
        </w:rPr>
        <w:t>模型，</w:t>
      </w:r>
      <w:r>
        <w:rPr>
          <w:rFonts w:hint="eastAsia" w:asciiTheme="minorEastAsia" w:hAnsiTheme="minorEastAsia" w:eastAsiaTheme="minorEastAsia" w:cstheme="minorEastAsia"/>
          <w:sz w:val="24"/>
          <w:szCs w:val="24"/>
          <w:highlight w:val="none"/>
          <w:lang w:val="en-US" w:eastAsia="zh-CN"/>
        </w:rPr>
        <w:t>构建典型工况下的多尺度间隙分布场景；利用有限元仿真研究不同电极激励模式下的电场穿透与响应特性，分析间隙尺寸、厚度梯度及介质差异对电容信号的调制规律，形成电容响应的多尺度建模方法。</w:t>
      </w:r>
    </w:p>
    <w:p w14:paraId="1F8DCCE1">
      <w:pPr>
        <w:pStyle w:val="16"/>
        <w:keepNext w:val="0"/>
        <w:keepLines w:val="0"/>
        <w:pageBreakBefore w:val="0"/>
        <w:widowControl w:val="0"/>
        <w:numPr>
          <w:ilvl w:val="0"/>
          <w:numId w:val="69"/>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面向工程曲面结构的共面电容阵列设计与驱动策略优化</w:t>
      </w:r>
    </w:p>
    <w:p w14:paraId="4CCD65BF">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围绕复杂曲面复材结构的检测需求，开展共面电容阵列的结构优化与系统集成设计；通过电极构型与阵列布设优化、多通道采集与驱动策略改进，提高阵列在复杂曲率与封闭空间下的贴合性、分辨率与稳定性，并支持模块化拓展与标准化通信接口，以支撑工程化部署。</w:t>
      </w:r>
    </w:p>
    <w:p w14:paraId="0A31AC22">
      <w:pPr>
        <w:pStyle w:val="16"/>
        <w:keepNext w:val="0"/>
        <w:keepLines w:val="0"/>
        <w:pageBreakBefore w:val="0"/>
        <w:widowControl w:val="0"/>
        <w:numPr>
          <w:ilvl w:val="0"/>
          <w:numId w:val="69"/>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融合物理先验与结构特征的间隙图像重建与反演算法研究</w:t>
      </w:r>
    </w:p>
    <w:p w14:paraId="525C6782">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展传统重建算法在深层与不规则间隙识别中的性能分析；构建融合电容物理先验的反演方法，引入电场特征约束以提升重建精度；形成适用于复杂间隙区域的多尺度重建与自动识别算法，用于支持检测系统的图像反演与尺寸提取；针对多形态间隙，设计多尺度重建框架，兼顾空间分辨率与结构保真度；结合自适应分割与物理一致性检验，实现有效间隙区域的自动提取，并与前端采集系统集成。</w:t>
      </w:r>
    </w:p>
    <w:p w14:paraId="0595D309">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研究结果的验证方式</w:t>
      </w:r>
    </w:p>
    <w:p w14:paraId="00A362CE">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针对复杂封闭曲面</w:t>
      </w:r>
      <w:r>
        <w:rPr>
          <w:rFonts w:hint="eastAsia" w:asciiTheme="minorEastAsia" w:hAnsiTheme="minorEastAsia" w:eastAsiaTheme="minorEastAsia" w:cstheme="minorEastAsia"/>
          <w:sz w:val="24"/>
          <w:szCs w:val="24"/>
          <w:highlight w:val="none"/>
          <w:lang w:val="en-US" w:eastAsia="zh-CN"/>
        </w:rPr>
        <w:t>复材</w:t>
      </w:r>
      <w:r>
        <w:rPr>
          <w:rFonts w:hint="eastAsia" w:asciiTheme="minorEastAsia" w:hAnsiTheme="minorEastAsia" w:eastAsiaTheme="minorEastAsia" w:cstheme="minorEastAsia"/>
          <w:sz w:val="24"/>
          <w:szCs w:val="24"/>
          <w:highlight w:val="none"/>
        </w:rPr>
        <w:t>结构间隙测量技术难题，本项目拟研制基于共面电容成像的无损检测系统用于复杂封闭曲面结构间隙测量，通过</w:t>
      </w:r>
      <w:r>
        <w:rPr>
          <w:rFonts w:hint="eastAsia" w:asciiTheme="minorEastAsia" w:hAnsiTheme="minorEastAsia" w:eastAsiaTheme="minorEastAsia" w:cstheme="minorEastAsia"/>
          <w:sz w:val="24"/>
          <w:szCs w:val="24"/>
          <w:highlight w:val="none"/>
          <w:lang w:val="en-US" w:eastAsia="zh-CN"/>
        </w:rPr>
        <w:t>典型复材结构装配试验件</w:t>
      </w:r>
      <w:r>
        <w:rPr>
          <w:rFonts w:hint="eastAsia" w:asciiTheme="minorEastAsia" w:hAnsiTheme="minorEastAsia" w:eastAsiaTheme="minorEastAsia" w:cstheme="minorEastAsia"/>
          <w:sz w:val="24"/>
          <w:szCs w:val="24"/>
          <w:highlight w:val="none"/>
        </w:rPr>
        <w:t>完成实物间隙测量验证。</w:t>
      </w:r>
    </w:p>
    <w:p w14:paraId="3C8B4B3E">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预期成果</w:t>
      </w:r>
    </w:p>
    <w:p w14:paraId="0B658514">
      <w:pPr>
        <w:pStyle w:val="16"/>
        <w:keepNext w:val="0"/>
        <w:keepLines w:val="0"/>
        <w:pageBreakBefore w:val="0"/>
        <w:widowControl w:val="0"/>
        <w:numPr>
          <w:ilvl w:val="0"/>
          <w:numId w:val="70"/>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间隙测量设备样机1台</w:t>
      </w:r>
    </w:p>
    <w:p w14:paraId="49BC303A">
      <w:pPr>
        <w:pStyle w:val="16"/>
        <w:keepNext w:val="0"/>
        <w:keepLines w:val="0"/>
        <w:pageBreakBefore w:val="0"/>
        <w:widowControl w:val="0"/>
        <w:numPr>
          <w:ilvl w:val="0"/>
          <w:numId w:val="70"/>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机械设计及加工图纸1套</w:t>
      </w:r>
    </w:p>
    <w:p w14:paraId="2A59291E">
      <w:pPr>
        <w:pStyle w:val="16"/>
        <w:keepNext w:val="0"/>
        <w:keepLines w:val="0"/>
        <w:pageBreakBefore w:val="0"/>
        <w:widowControl w:val="0"/>
        <w:numPr>
          <w:ilvl w:val="0"/>
          <w:numId w:val="70"/>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电容成像测量理论研究报告1份</w:t>
      </w:r>
    </w:p>
    <w:p w14:paraId="76035EDC">
      <w:pPr>
        <w:pStyle w:val="16"/>
        <w:keepNext w:val="0"/>
        <w:keepLines w:val="0"/>
        <w:pageBreakBefore w:val="0"/>
        <w:widowControl w:val="0"/>
        <w:numPr>
          <w:ilvl w:val="0"/>
          <w:numId w:val="70"/>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设备功能测试报告1份</w:t>
      </w:r>
    </w:p>
    <w:p w14:paraId="60A0042C">
      <w:pPr>
        <w:pStyle w:val="16"/>
        <w:keepNext w:val="0"/>
        <w:keepLines w:val="0"/>
        <w:pageBreakBefore w:val="0"/>
        <w:widowControl w:val="0"/>
        <w:numPr>
          <w:ilvl w:val="0"/>
          <w:numId w:val="70"/>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发表</w:t>
      </w:r>
      <w:r>
        <w:rPr>
          <w:rFonts w:hint="eastAsia" w:ascii="宋体" w:hAnsi="宋体" w:eastAsia="宋体" w:cs="宋体"/>
          <w:color w:val="000000"/>
          <w:sz w:val="24"/>
          <w:szCs w:val="24"/>
          <w:highlight w:val="none"/>
        </w:rPr>
        <w:t>学术论文1篇</w:t>
      </w:r>
    </w:p>
    <w:p w14:paraId="40B49C61">
      <w:pPr>
        <w:pStyle w:val="16"/>
        <w:keepNext w:val="0"/>
        <w:keepLines w:val="0"/>
        <w:pageBreakBefore w:val="0"/>
        <w:widowControl w:val="0"/>
        <w:numPr>
          <w:ilvl w:val="0"/>
          <w:numId w:val="70"/>
        </w:numPr>
        <w:kinsoku/>
        <w:wordWrap/>
        <w:overflowPunct/>
        <w:topLinePunct w:val="0"/>
        <w:autoSpaceDE/>
        <w:autoSpaceDN/>
        <w:bidi w:val="0"/>
        <w:adjustRightInd/>
        <w:spacing w:line="240" w:lineRule="auto"/>
        <w:ind w:left="0" w:firstLine="480" w:firstLineChars="200"/>
        <w:textAlignment w:val="center"/>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申请</w:t>
      </w:r>
      <w:r>
        <w:rPr>
          <w:rFonts w:hint="eastAsia" w:ascii="宋体" w:hAnsi="宋体" w:eastAsia="宋体" w:cs="宋体"/>
          <w:color w:val="000000"/>
          <w:sz w:val="24"/>
          <w:szCs w:val="24"/>
          <w:highlight w:val="none"/>
        </w:rPr>
        <w:t>国家发明专利1项</w:t>
      </w:r>
    </w:p>
    <w:p w14:paraId="33D1B695">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建议研究周期和启动时间</w:t>
      </w:r>
    </w:p>
    <w:p w14:paraId="2E6B0D07">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24个月</w:t>
      </w:r>
    </w:p>
    <w:p w14:paraId="1F423F9F">
      <w:pPr>
        <w:keepNext w:val="0"/>
        <w:keepLines w:val="0"/>
        <w:pageBreakBefore w:val="0"/>
        <w:widowControl w:val="0"/>
        <w:numPr>
          <w:ilvl w:val="0"/>
          <w:numId w:val="67"/>
        </w:numPr>
        <w:kinsoku/>
        <w:wordWrap/>
        <w:overflowPunct/>
        <w:topLinePunct w:val="0"/>
        <w:autoSpaceDE/>
        <w:autoSpaceDN/>
        <w:bidi w:val="0"/>
        <w:adjustRightInd/>
        <w:spacing w:after="0" w:line="240" w:lineRule="auto"/>
        <w:ind w:left="0" w:leftChars="0" w:firstLine="0" w:firstLine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所需研究经费</w:t>
      </w:r>
    </w:p>
    <w:p w14:paraId="529E6B54">
      <w:pPr>
        <w:keepNext w:val="0"/>
        <w:keepLines w:val="0"/>
        <w:pageBreakBefore w:val="0"/>
        <w:widowControl w:val="0"/>
        <w:kinsoku/>
        <w:wordWrap/>
        <w:overflowPunct/>
        <w:topLinePunct w:val="0"/>
        <w:autoSpaceDE/>
        <w:autoSpaceDN/>
        <w:bidi w:val="0"/>
        <w:adjustRightInd/>
        <w:spacing w:line="240" w:lineRule="auto"/>
        <w:ind w:left="0" w:firstLine="480" w:firstLineChars="20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50</w:t>
      </w:r>
      <w:r>
        <w:rPr>
          <w:rFonts w:hint="eastAsia" w:ascii="宋体" w:hAnsi="宋体" w:eastAsia="宋体" w:cstheme="minorBidi"/>
          <w:bCs/>
          <w:sz w:val="24"/>
          <w:szCs w:val="24"/>
          <w:highlight w:val="none"/>
          <w:lang w:val="en-US" w:eastAsia="zh-CN"/>
        </w:rPr>
        <w:t>万元</w:t>
      </w:r>
      <w:r>
        <w:rPr>
          <w:rFonts w:hint="eastAsia" w:asciiTheme="minorEastAsia" w:hAnsiTheme="minorEastAsia" w:eastAsiaTheme="minorEastAsia" w:cstheme="minorEastAsia"/>
          <w:sz w:val="24"/>
          <w:szCs w:val="24"/>
          <w:highlight w:val="none"/>
        </w:rPr>
        <w:t>。</w:t>
      </w:r>
    </w:p>
    <w:p w14:paraId="4B167A75">
      <w:pPr>
        <w:pStyle w:val="8"/>
        <w:pageBreakBefore w:val="0"/>
        <w:kinsoku/>
        <w:wordWrap/>
        <w:overflowPunct/>
        <w:topLinePunct w:val="0"/>
        <w:autoSpaceDE/>
        <w:autoSpaceDN/>
        <w:bidi w:val="0"/>
        <w:adjustRightInd/>
        <w:spacing w:line="240" w:lineRule="auto"/>
        <w:rPr>
          <w:highlight w:val="none"/>
        </w:rPr>
      </w:pPr>
    </w:p>
    <w:p w14:paraId="22D19895">
      <w:pPr>
        <w:pStyle w:val="8"/>
        <w:pageBreakBefore w:val="0"/>
        <w:kinsoku/>
        <w:wordWrap/>
        <w:overflowPunct/>
        <w:topLinePunct w:val="0"/>
        <w:autoSpaceDE/>
        <w:autoSpaceDN/>
        <w:bidi w:val="0"/>
        <w:adjustRightInd/>
        <w:spacing w:line="240" w:lineRule="auto"/>
        <w:rPr>
          <w:highlight w:val="none"/>
        </w:rPr>
      </w:pPr>
    </w:p>
    <w:p w14:paraId="366FCFDD">
      <w:pPr>
        <w:pStyle w:val="8"/>
        <w:pageBreakBefore w:val="0"/>
        <w:kinsoku/>
        <w:wordWrap/>
        <w:overflowPunct/>
        <w:topLinePunct w:val="0"/>
        <w:autoSpaceDE/>
        <w:autoSpaceDN/>
        <w:bidi w:val="0"/>
        <w:adjustRightInd/>
        <w:spacing w:line="240" w:lineRule="auto"/>
        <w:rPr>
          <w:highlight w:val="none"/>
        </w:rPr>
      </w:pPr>
    </w:p>
    <w:p w14:paraId="69B41750">
      <w:pPr>
        <w:pStyle w:val="8"/>
        <w:pageBreakBefore w:val="0"/>
        <w:kinsoku/>
        <w:wordWrap/>
        <w:overflowPunct/>
        <w:topLinePunct w:val="0"/>
        <w:autoSpaceDE/>
        <w:autoSpaceDN/>
        <w:bidi w:val="0"/>
        <w:adjustRightInd/>
        <w:spacing w:line="240" w:lineRule="auto"/>
        <w:rPr>
          <w:highlight w:val="none"/>
        </w:rPr>
        <w:sectPr>
          <w:pgSz w:w="11906" w:h="16838"/>
          <w:pgMar w:top="1440" w:right="1800" w:bottom="1440" w:left="1800" w:header="851" w:footer="992" w:gutter="0"/>
          <w:cols w:space="425" w:num="1"/>
          <w:docGrid w:type="lines" w:linePitch="312" w:charSpace="0"/>
        </w:sectPr>
      </w:pPr>
    </w:p>
    <w:p w14:paraId="684EABCB">
      <w:pPr>
        <w:pStyle w:val="2"/>
        <w:pageBreakBefore w:val="0"/>
        <w:kinsoku/>
        <w:wordWrap/>
        <w:overflowPunct/>
        <w:topLinePunct w:val="0"/>
        <w:autoSpaceDE/>
        <w:autoSpaceDN/>
        <w:bidi w:val="0"/>
        <w:adjustRightInd/>
        <w:spacing w:line="240" w:lineRule="auto"/>
        <w:rPr>
          <w:rFonts w:hint="eastAsia" w:eastAsia="宋体"/>
          <w:highlight w:val="none"/>
          <w:lang w:val="en-US" w:eastAsia="zh-CN"/>
        </w:rPr>
      </w:pPr>
      <w:bookmarkStart w:id="36" w:name="_Toc25080"/>
      <w:r>
        <w:rPr>
          <w:rFonts w:hint="eastAsia"/>
          <w:highlight w:val="none"/>
          <w:lang w:val="en-US" w:eastAsia="zh-CN"/>
        </w:rPr>
        <w:t>面向</w:t>
      </w:r>
      <w:r>
        <w:rPr>
          <w:rFonts w:hint="eastAsia" w:eastAsia="宋体"/>
          <w:highlight w:val="none"/>
          <w:lang w:val="en-US" w:eastAsia="zh-CN"/>
        </w:rPr>
        <w:t>复材结构装配现场意外撞击的防护策略研究</w:t>
      </w:r>
      <w:bookmarkEnd w:id="36"/>
    </w:p>
    <w:p w14:paraId="7FA51D7B">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项目背景</w:t>
      </w:r>
    </w:p>
    <w:p w14:paraId="7E54B081">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复合材料在飞机结构上的大量应用是提高飞机经济性、舒适性和环保性的重要保证，也是提升国产飞机国际竞争力的重要手段。然而，由于复合材料特有的层合结构特点，</w:t>
      </w:r>
      <w:r>
        <w:rPr>
          <w:rFonts w:hint="eastAsia" w:ascii="Times New Roman" w:hAnsi="宋体" w:eastAsia="宋体" w:cs="Times New Roman"/>
          <w:bCs/>
          <w:sz w:val="24"/>
          <w:highlight w:val="none"/>
          <w:lang w:val="en-US" w:eastAsia="zh-CN"/>
        </w:rPr>
        <w:t>容易在受到外部碰撞时发生不同程度的损伤，进而</w:t>
      </w:r>
      <w:r>
        <w:rPr>
          <w:rFonts w:hint="eastAsia" w:ascii="Times New Roman" w:hAnsi="宋体" w:eastAsia="宋体" w:cs="Times New Roman"/>
          <w:bCs/>
          <w:sz w:val="24"/>
          <w:highlight w:val="none"/>
        </w:rPr>
        <w:t>影响结构的承载性能。复合材料结构装配</w:t>
      </w:r>
      <w:r>
        <w:rPr>
          <w:rFonts w:hint="eastAsia" w:ascii="Times New Roman" w:hAnsi="宋体" w:eastAsia="宋体" w:cs="Times New Roman"/>
          <w:bCs/>
          <w:sz w:val="24"/>
          <w:highlight w:val="none"/>
          <w:lang w:val="en-US" w:eastAsia="zh-CN"/>
        </w:rPr>
        <w:t>现场环境复杂</w:t>
      </w:r>
      <w:r>
        <w:rPr>
          <w:rFonts w:hint="eastAsia" w:ascii="Times New Roman" w:hAnsi="宋体" w:eastAsia="宋体" w:cs="Times New Roman"/>
          <w:bCs/>
          <w:sz w:val="24"/>
          <w:highlight w:val="none"/>
        </w:rPr>
        <w:t>，容易发生工具、零件等的</w:t>
      </w:r>
      <w:r>
        <w:rPr>
          <w:rFonts w:hint="eastAsia" w:ascii="Times New Roman" w:hAnsi="宋体" w:eastAsia="宋体" w:cs="Times New Roman"/>
          <w:bCs/>
          <w:sz w:val="24"/>
          <w:highlight w:val="none"/>
          <w:lang w:val="en-US" w:eastAsia="zh-CN"/>
        </w:rPr>
        <w:t>意外碰撞</w:t>
      </w:r>
      <w:r>
        <w:rPr>
          <w:rFonts w:hint="eastAsia" w:ascii="Times New Roman" w:hAnsi="宋体" w:eastAsia="宋体" w:cs="Times New Roman"/>
          <w:bCs/>
          <w:sz w:val="24"/>
          <w:highlight w:val="none"/>
        </w:rPr>
        <w:t>。因此，需要针对</w:t>
      </w:r>
      <w:r>
        <w:rPr>
          <w:rFonts w:hint="eastAsia" w:ascii="Times New Roman" w:hAnsi="宋体" w:eastAsia="宋体" w:cs="Times New Roman"/>
          <w:bCs/>
          <w:sz w:val="24"/>
          <w:highlight w:val="none"/>
          <w:lang w:val="en-US" w:eastAsia="zh-CN"/>
        </w:rPr>
        <w:t>复材结构</w:t>
      </w:r>
      <w:r>
        <w:rPr>
          <w:rFonts w:hint="eastAsia" w:ascii="Times New Roman" w:hAnsi="宋体" w:eastAsia="宋体" w:cs="Times New Roman"/>
          <w:bCs/>
          <w:sz w:val="24"/>
          <w:highlight w:val="none"/>
        </w:rPr>
        <w:t>连接装配过程中</w:t>
      </w:r>
      <w:r>
        <w:rPr>
          <w:rFonts w:hint="eastAsia" w:ascii="Times New Roman" w:hAnsi="宋体" w:eastAsia="宋体" w:cs="Times New Roman"/>
          <w:bCs/>
          <w:sz w:val="24"/>
          <w:highlight w:val="none"/>
          <w:lang w:val="en-US" w:eastAsia="zh-CN"/>
        </w:rPr>
        <w:t>可能</w:t>
      </w:r>
      <w:r>
        <w:rPr>
          <w:rFonts w:hint="eastAsia" w:ascii="Times New Roman" w:hAnsi="宋体" w:eastAsia="宋体" w:cs="Times New Roman"/>
          <w:bCs/>
          <w:sz w:val="24"/>
          <w:highlight w:val="none"/>
        </w:rPr>
        <w:t>出现的低</w:t>
      </w:r>
      <w:r>
        <w:rPr>
          <w:rFonts w:hint="eastAsia" w:ascii="Times New Roman" w:hAnsi="宋体" w:eastAsia="宋体" w:cs="Times New Roman"/>
          <w:bCs/>
          <w:sz w:val="24"/>
          <w:highlight w:val="none"/>
          <w:lang w:val="en-US" w:eastAsia="zh-CN"/>
        </w:rPr>
        <w:t>能量</w:t>
      </w:r>
      <w:r>
        <w:rPr>
          <w:rFonts w:hint="eastAsia" w:ascii="Times New Roman" w:hAnsi="宋体" w:eastAsia="宋体" w:cs="Times New Roman"/>
          <w:bCs/>
          <w:sz w:val="24"/>
          <w:highlight w:val="none"/>
        </w:rPr>
        <w:t>撞击进行研究，统计分析复合材料连接装配过程中的</w:t>
      </w:r>
      <w:r>
        <w:rPr>
          <w:rFonts w:hint="eastAsia" w:ascii="Times New Roman" w:hAnsi="宋体" w:eastAsia="宋体" w:cs="Times New Roman"/>
          <w:bCs/>
          <w:sz w:val="24"/>
          <w:highlight w:val="none"/>
          <w:lang w:val="en-US" w:eastAsia="zh-CN"/>
        </w:rPr>
        <w:t>意外撞击</w:t>
      </w:r>
      <w:r>
        <w:rPr>
          <w:rFonts w:hint="eastAsia" w:ascii="Times New Roman" w:hAnsi="宋体" w:eastAsia="宋体" w:cs="Times New Roman"/>
          <w:bCs/>
          <w:sz w:val="24"/>
          <w:highlight w:val="none"/>
        </w:rPr>
        <w:t>类型，提出</w:t>
      </w:r>
      <w:r>
        <w:rPr>
          <w:rFonts w:hint="eastAsia" w:ascii="Times New Roman" w:hAnsi="宋体" w:eastAsia="宋体" w:cs="Times New Roman"/>
          <w:bCs/>
          <w:sz w:val="24"/>
          <w:highlight w:val="none"/>
          <w:lang w:val="en-US" w:eastAsia="zh-CN"/>
        </w:rPr>
        <w:t>撞击对结构质量的影响</w:t>
      </w:r>
      <w:r>
        <w:rPr>
          <w:rFonts w:hint="eastAsia" w:ascii="Times New Roman" w:hAnsi="宋体" w:eastAsia="宋体" w:cs="Times New Roman"/>
          <w:bCs/>
          <w:sz w:val="24"/>
          <w:highlight w:val="none"/>
        </w:rPr>
        <w:t>评估方法，建立</w:t>
      </w:r>
      <w:r>
        <w:rPr>
          <w:rFonts w:hint="eastAsia" w:ascii="Times New Roman" w:hAnsi="宋体" w:eastAsia="宋体" w:cs="Times New Roman"/>
          <w:bCs/>
          <w:sz w:val="24"/>
          <w:highlight w:val="none"/>
          <w:lang w:val="en-US" w:eastAsia="zh-CN"/>
        </w:rPr>
        <w:t>撞击</w:t>
      </w:r>
      <w:r>
        <w:rPr>
          <w:rFonts w:hint="eastAsia" w:ascii="Times New Roman" w:hAnsi="宋体" w:eastAsia="宋体" w:cs="Times New Roman"/>
          <w:bCs/>
          <w:sz w:val="24"/>
          <w:highlight w:val="none"/>
        </w:rPr>
        <w:t>影响复合材料力学性能变化规律，</w:t>
      </w:r>
      <w:r>
        <w:rPr>
          <w:rFonts w:hint="eastAsia" w:ascii="Times New Roman" w:hAnsi="宋体" w:eastAsia="宋体" w:cs="Times New Roman"/>
          <w:bCs/>
          <w:sz w:val="24"/>
          <w:highlight w:val="none"/>
          <w:lang w:val="en-US" w:eastAsia="zh-CN"/>
        </w:rPr>
        <w:t>并</w:t>
      </w:r>
      <w:r>
        <w:rPr>
          <w:rFonts w:hint="eastAsia" w:ascii="Times New Roman" w:hAnsi="宋体" w:eastAsia="宋体" w:cs="Times New Roman"/>
          <w:bCs/>
          <w:sz w:val="24"/>
          <w:highlight w:val="none"/>
        </w:rPr>
        <w:t>形成</w:t>
      </w:r>
      <w:r>
        <w:rPr>
          <w:rFonts w:hint="eastAsia" w:ascii="Times New Roman" w:hAnsi="宋体" w:eastAsia="宋体" w:cs="Times New Roman"/>
          <w:bCs/>
          <w:sz w:val="24"/>
          <w:highlight w:val="none"/>
          <w:lang w:val="en-US" w:eastAsia="zh-CN"/>
        </w:rPr>
        <w:t>现场的</w:t>
      </w:r>
      <w:r>
        <w:rPr>
          <w:rFonts w:hint="eastAsia" w:ascii="Times New Roman" w:hAnsi="宋体" w:eastAsia="宋体" w:cs="Times New Roman"/>
          <w:bCs/>
          <w:sz w:val="24"/>
          <w:highlight w:val="none"/>
        </w:rPr>
        <w:t>防护策略，为飞机复合材料</w:t>
      </w:r>
      <w:r>
        <w:rPr>
          <w:rFonts w:hint="eastAsia" w:ascii="Times New Roman" w:hAnsi="宋体" w:eastAsia="宋体" w:cs="Times New Roman"/>
          <w:bCs/>
          <w:sz w:val="24"/>
          <w:highlight w:val="none"/>
          <w:lang w:val="en-US" w:eastAsia="zh-CN"/>
        </w:rPr>
        <w:t>结构</w:t>
      </w:r>
      <w:r>
        <w:rPr>
          <w:rFonts w:hint="eastAsia" w:ascii="Times New Roman" w:hAnsi="宋体" w:eastAsia="宋体" w:cs="Times New Roman"/>
          <w:bCs/>
          <w:sz w:val="24"/>
          <w:highlight w:val="none"/>
        </w:rPr>
        <w:t>长寿命安全服役提供技术保障。</w:t>
      </w:r>
    </w:p>
    <w:p w14:paraId="7DD0A162">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项目归属的重点专业领域</w:t>
      </w:r>
    </w:p>
    <w:p w14:paraId="3ED1F2AF">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冷工艺</w:t>
      </w:r>
    </w:p>
    <w:p w14:paraId="77270343">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项目目标及技术指标</w:t>
      </w:r>
    </w:p>
    <w:p w14:paraId="1112A907">
      <w:pPr>
        <w:spacing w:line="360" w:lineRule="auto"/>
        <w:ind w:firstLine="480" w:firstLineChars="200"/>
        <w:rPr>
          <w:rFonts w:hint="eastAsia" w:hAnsi="宋体"/>
          <w:color w:val="FF0000"/>
          <w:sz w:val="24"/>
          <w:highlight w:val="none"/>
        </w:rPr>
      </w:pPr>
      <w:r>
        <w:rPr>
          <w:rFonts w:hint="eastAsia" w:ascii="Times New Roman" w:hAnsi="宋体" w:eastAsia="宋体" w:cs="Times New Roman"/>
          <w:b/>
          <w:sz w:val="24"/>
          <w:highlight w:val="none"/>
        </w:rPr>
        <w:t>项目目标：</w:t>
      </w:r>
      <w:r>
        <w:rPr>
          <w:rFonts w:hint="eastAsia" w:hAnsi="宋体"/>
          <w:color w:val="FF0000"/>
          <w:sz w:val="24"/>
          <w:highlight w:val="none"/>
        </w:rPr>
        <w:t xml:space="preserve"> </w:t>
      </w:r>
    </w:p>
    <w:p w14:paraId="1D82C536">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针对复合材料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连接装配过程中可能出现的</w:t>
      </w:r>
      <w:r>
        <w:rPr>
          <w:rFonts w:hint="eastAsia" w:ascii="Times New Roman" w:hAnsi="宋体" w:eastAsia="宋体" w:cs="Times New Roman"/>
          <w:bCs/>
          <w:sz w:val="24"/>
          <w:highlight w:val="none"/>
          <w:lang w:val="en-US" w:eastAsia="zh-CN"/>
        </w:rPr>
        <w:t>意外</w:t>
      </w:r>
      <w:r>
        <w:rPr>
          <w:rFonts w:hint="eastAsia" w:ascii="Times New Roman" w:hAnsi="宋体" w:eastAsia="宋体" w:cs="Times New Roman"/>
          <w:bCs/>
          <w:sz w:val="24"/>
          <w:highlight w:val="none"/>
        </w:rPr>
        <w:t>碰撞问题，统计分析连接装配过程中</w:t>
      </w:r>
      <w:r>
        <w:rPr>
          <w:rFonts w:hint="eastAsia" w:ascii="Times New Roman" w:hAnsi="宋体" w:eastAsia="宋体" w:cs="Times New Roman"/>
          <w:bCs/>
          <w:sz w:val="24"/>
          <w:highlight w:val="none"/>
          <w:lang w:val="en-US" w:eastAsia="zh-CN"/>
        </w:rPr>
        <w:t>的意外</w:t>
      </w:r>
      <w:r>
        <w:rPr>
          <w:rFonts w:hint="eastAsia" w:ascii="Times New Roman" w:hAnsi="宋体" w:eastAsia="宋体" w:cs="Times New Roman"/>
          <w:bCs/>
          <w:sz w:val="24"/>
          <w:highlight w:val="none"/>
        </w:rPr>
        <w:t>碰撞类型，提出</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损伤表征方法，揭示</w:t>
      </w:r>
      <w:r>
        <w:rPr>
          <w:rFonts w:hint="eastAsia" w:ascii="Times New Roman" w:hAnsi="宋体" w:eastAsia="宋体" w:cs="Times New Roman"/>
          <w:bCs/>
          <w:sz w:val="24"/>
          <w:highlight w:val="none"/>
          <w:lang w:val="en-US" w:eastAsia="zh-CN"/>
        </w:rPr>
        <w:t>意外撞击</w:t>
      </w:r>
      <w:r>
        <w:rPr>
          <w:rFonts w:hint="eastAsia" w:ascii="Times New Roman" w:hAnsi="宋体" w:eastAsia="宋体" w:cs="Times New Roman"/>
          <w:bCs/>
          <w:sz w:val="24"/>
          <w:highlight w:val="none"/>
        </w:rPr>
        <w:t>影响复合材料</w:t>
      </w:r>
      <w:r>
        <w:rPr>
          <w:rFonts w:hint="eastAsia" w:ascii="Times New Roman" w:hAnsi="宋体" w:eastAsia="宋体" w:cs="Times New Roman"/>
          <w:bCs/>
          <w:sz w:val="24"/>
          <w:highlight w:val="none"/>
          <w:lang w:val="en-US" w:eastAsia="zh-CN"/>
        </w:rPr>
        <w:t>结构</w:t>
      </w:r>
      <w:r>
        <w:rPr>
          <w:rFonts w:hint="eastAsia" w:ascii="Times New Roman" w:hAnsi="宋体" w:eastAsia="宋体" w:cs="Times New Roman"/>
          <w:bCs/>
          <w:sz w:val="24"/>
          <w:highlight w:val="none"/>
        </w:rPr>
        <w:t>力学性能衰减规律，建立</w:t>
      </w:r>
      <w:r>
        <w:rPr>
          <w:rFonts w:hint="eastAsia" w:ascii="Times New Roman" w:hAnsi="宋体" w:eastAsia="宋体" w:cs="Times New Roman"/>
          <w:bCs/>
          <w:sz w:val="24"/>
          <w:highlight w:val="none"/>
          <w:lang w:val="en-US" w:eastAsia="zh-CN"/>
        </w:rPr>
        <w:t>撞击</w:t>
      </w:r>
      <w:r>
        <w:rPr>
          <w:rFonts w:hint="eastAsia" w:ascii="Times New Roman" w:hAnsi="宋体" w:eastAsia="宋体" w:cs="Times New Roman"/>
          <w:bCs/>
          <w:sz w:val="24"/>
          <w:highlight w:val="none"/>
        </w:rPr>
        <w:t>损伤与力学性能退化间的映射关系，提出考虑装配现场实际工作环境的防护策略，为飞机用复合材料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长寿命安全服役提供技术支持。</w:t>
      </w:r>
    </w:p>
    <w:p w14:paraId="3F8FDE7A">
      <w:pPr>
        <w:spacing w:after="0" w:line="360" w:lineRule="auto"/>
        <w:ind w:firstLine="480" w:firstLineChars="200"/>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技术指标：</w:t>
      </w:r>
    </w:p>
    <w:p w14:paraId="5628DDEE">
      <w:pPr>
        <w:numPr>
          <w:ilvl w:val="0"/>
          <w:numId w:val="72"/>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工具种类不少于5类，装配场景不少于3个；</w:t>
      </w:r>
    </w:p>
    <w:p w14:paraId="3EFC3CEC">
      <w:pPr>
        <w:numPr>
          <w:ilvl w:val="0"/>
          <w:numId w:val="72"/>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复合材料</w:t>
      </w:r>
      <w:r>
        <w:rPr>
          <w:rFonts w:hint="eastAsia" w:ascii="Times New Roman" w:hAnsi="宋体" w:eastAsia="宋体" w:cs="Times New Roman"/>
          <w:sz w:val="24"/>
          <w:highlight w:val="none"/>
          <w:lang w:eastAsia="zh-CN"/>
        </w:rPr>
        <w:t>结构</w:t>
      </w:r>
      <w:r>
        <w:rPr>
          <w:rFonts w:hint="eastAsia" w:ascii="Times New Roman" w:hAnsi="宋体" w:eastAsia="宋体" w:cs="Times New Roman"/>
          <w:sz w:val="24"/>
          <w:highlight w:val="none"/>
        </w:rPr>
        <w:t>厚度覆盖3-6mm；</w:t>
      </w:r>
    </w:p>
    <w:p w14:paraId="650B5310">
      <w:pPr>
        <w:numPr>
          <w:ilvl w:val="0"/>
          <w:numId w:val="72"/>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损伤影响复合材料</w:t>
      </w:r>
      <w:r>
        <w:rPr>
          <w:rFonts w:hint="eastAsia" w:ascii="Times New Roman" w:hAnsi="宋体" w:eastAsia="宋体" w:cs="Times New Roman"/>
          <w:sz w:val="24"/>
          <w:highlight w:val="none"/>
          <w:lang w:eastAsia="zh-CN"/>
        </w:rPr>
        <w:t>结构</w:t>
      </w:r>
      <w:r>
        <w:rPr>
          <w:rFonts w:hint="eastAsia" w:ascii="Times New Roman" w:hAnsi="宋体" w:eastAsia="宋体" w:cs="Times New Roman"/>
          <w:sz w:val="24"/>
          <w:highlight w:val="none"/>
        </w:rPr>
        <w:t>拉伸</w:t>
      </w:r>
      <w:r>
        <w:rPr>
          <w:rFonts w:hint="eastAsia" w:ascii="Times New Roman" w:hAnsi="宋体" w:eastAsia="宋体" w:cs="Times New Roman"/>
          <w:sz w:val="24"/>
          <w:highlight w:val="none"/>
          <w:lang w:val="en-US" w:eastAsia="zh-CN"/>
        </w:rPr>
        <w:t>/压缩</w:t>
      </w:r>
      <w:r>
        <w:rPr>
          <w:rFonts w:hint="eastAsia" w:ascii="Times New Roman" w:hAnsi="宋体" w:eastAsia="宋体" w:cs="Times New Roman"/>
          <w:sz w:val="24"/>
          <w:highlight w:val="none"/>
        </w:rPr>
        <w:t>强度预测误差</w:t>
      </w:r>
      <w:bookmarkStart w:id="37" w:name="OLE_LINK2"/>
      <w:r>
        <w:rPr>
          <w:rFonts w:hint="eastAsia" w:ascii="Times New Roman" w:hAnsi="宋体" w:eastAsia="宋体" w:cs="Times New Roman"/>
          <w:sz w:val="24"/>
          <w:highlight w:val="none"/>
        </w:rPr>
        <w:t>≤</w:t>
      </w:r>
      <w:bookmarkEnd w:id="37"/>
      <w:r>
        <w:rPr>
          <w:rFonts w:hint="eastAsia" w:ascii="Times New Roman" w:hAnsi="宋体" w:eastAsia="宋体" w:cs="Times New Roman"/>
          <w:sz w:val="24"/>
          <w:highlight w:val="none"/>
        </w:rPr>
        <w:t>15%；</w:t>
      </w:r>
    </w:p>
    <w:p w14:paraId="7AB374A0">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主要研究内容</w:t>
      </w:r>
    </w:p>
    <w:p w14:paraId="53F522CF">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飞机复合材料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在连接装配</w:t>
      </w:r>
      <w:r>
        <w:rPr>
          <w:rFonts w:hint="eastAsia" w:ascii="Times New Roman" w:hAnsi="宋体" w:eastAsia="宋体" w:cs="Times New Roman"/>
          <w:bCs/>
          <w:sz w:val="24"/>
          <w:highlight w:val="none"/>
          <w:lang w:val="en-US" w:eastAsia="zh-CN"/>
        </w:rPr>
        <w:t>中存在</w:t>
      </w:r>
      <w:r>
        <w:rPr>
          <w:rFonts w:hint="eastAsia" w:ascii="Times New Roman" w:hAnsi="宋体" w:eastAsia="宋体" w:cs="Times New Roman"/>
          <w:bCs/>
          <w:sz w:val="24"/>
          <w:highlight w:val="none"/>
        </w:rPr>
        <w:t>因工具、夹具、零件等的掉落而发生的</w:t>
      </w:r>
      <w:r>
        <w:rPr>
          <w:rFonts w:hint="eastAsia" w:ascii="Times New Roman" w:hAnsi="宋体" w:eastAsia="宋体" w:cs="Times New Roman"/>
          <w:bCs/>
          <w:sz w:val="24"/>
          <w:highlight w:val="none"/>
          <w:lang w:val="en-US" w:eastAsia="zh-CN"/>
        </w:rPr>
        <w:t>意外</w:t>
      </w:r>
      <w:r>
        <w:rPr>
          <w:rFonts w:hint="eastAsia" w:ascii="Times New Roman" w:hAnsi="宋体" w:eastAsia="宋体" w:cs="Times New Roman"/>
          <w:bCs/>
          <w:sz w:val="24"/>
          <w:highlight w:val="none"/>
        </w:rPr>
        <w:t>撞击现象，导致层合结构的复合材料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lang w:val="en-US" w:eastAsia="zh-CN"/>
        </w:rPr>
        <w:t>发生损伤</w:t>
      </w:r>
      <w:r>
        <w:rPr>
          <w:rFonts w:hint="eastAsia" w:ascii="Times New Roman" w:hAnsi="宋体" w:eastAsia="宋体" w:cs="Times New Roman"/>
          <w:bCs/>
          <w:sz w:val="24"/>
          <w:highlight w:val="none"/>
        </w:rPr>
        <w:t>。准确评估</w:t>
      </w:r>
      <w:r>
        <w:rPr>
          <w:rFonts w:hint="eastAsia" w:ascii="Times New Roman" w:hAnsi="宋体" w:eastAsia="宋体" w:cs="Times New Roman"/>
          <w:bCs/>
          <w:sz w:val="24"/>
          <w:highlight w:val="none"/>
          <w:lang w:val="en-US" w:eastAsia="zh-CN"/>
        </w:rPr>
        <w:t>该类</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对复合材料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力学性能的影响，必须分析</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物的类型与</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损伤之间的关联关系，研究</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损伤影响复合材料力学性衰减规律，建立</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物几何形状、掉落高度、</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角度等与复合材料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力学性能衰减之间的映射关系。为此需开展的研究工作包括：</w:t>
      </w:r>
    </w:p>
    <w:p w14:paraId="7F1B501D">
      <w:pPr>
        <w:numPr>
          <w:ilvl w:val="0"/>
          <w:numId w:val="73"/>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连接装配过程中</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特征及损伤表征方法</w:t>
      </w:r>
    </w:p>
    <w:p w14:paraId="490ECD73">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分析复合材料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连接装配过程中可能出现的</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物几何形状、跌落高度、</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角度，提出</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损伤表征方法，建立被</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位置表面形貌与复合材料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内部损伤间的关联关系，为</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损伤影响复合材料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力学性能的准确评估创造条件。</w:t>
      </w:r>
    </w:p>
    <w:p w14:paraId="5E97D047">
      <w:pPr>
        <w:numPr>
          <w:ilvl w:val="0"/>
          <w:numId w:val="73"/>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损伤影响复合材料</w:t>
      </w:r>
      <w:r>
        <w:rPr>
          <w:rFonts w:hint="eastAsia" w:ascii="Times New Roman" w:hAnsi="宋体" w:eastAsia="宋体" w:cs="Times New Roman"/>
          <w:sz w:val="24"/>
          <w:highlight w:val="none"/>
          <w:lang w:eastAsia="zh-CN"/>
        </w:rPr>
        <w:t>结构</w:t>
      </w:r>
      <w:r>
        <w:rPr>
          <w:rFonts w:hint="eastAsia" w:ascii="Times New Roman" w:hAnsi="宋体" w:eastAsia="宋体" w:cs="Times New Roman"/>
          <w:sz w:val="24"/>
          <w:highlight w:val="none"/>
        </w:rPr>
        <w:t>力学性能退化规律</w:t>
      </w:r>
    </w:p>
    <w:p w14:paraId="39EEFA94">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为实现复合材料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长寿命安全服役，需准确把握</w:t>
      </w:r>
      <w:r>
        <w:rPr>
          <w:rFonts w:hint="eastAsia" w:ascii="Times New Roman" w:hAnsi="宋体" w:eastAsia="宋体" w:cs="Times New Roman"/>
          <w:bCs/>
          <w:sz w:val="24"/>
          <w:highlight w:val="none"/>
          <w:lang w:val="en-US" w:eastAsia="zh-CN"/>
        </w:rPr>
        <w:t>装配现场意外</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带来的</w:t>
      </w:r>
      <w:r>
        <w:rPr>
          <w:rFonts w:hint="eastAsia" w:ascii="Times New Roman" w:hAnsi="宋体" w:eastAsia="宋体" w:cs="Times New Roman"/>
          <w:bCs/>
          <w:sz w:val="24"/>
          <w:highlight w:val="none"/>
          <w:lang w:val="en-US" w:eastAsia="zh-CN"/>
        </w:rPr>
        <w:t>不利</w:t>
      </w:r>
      <w:r>
        <w:rPr>
          <w:rFonts w:hint="eastAsia" w:ascii="Times New Roman" w:hAnsi="宋体" w:eastAsia="宋体" w:cs="Times New Roman"/>
          <w:bCs/>
          <w:sz w:val="24"/>
          <w:highlight w:val="none"/>
        </w:rPr>
        <w:t>影响。为此，需要研究</w:t>
      </w:r>
      <w:r>
        <w:rPr>
          <w:rFonts w:hint="eastAsia" w:ascii="Times New Roman" w:hAnsi="宋体" w:eastAsia="宋体" w:cs="Times New Roman"/>
          <w:bCs/>
          <w:sz w:val="24"/>
          <w:highlight w:val="none"/>
          <w:lang w:val="en-US" w:eastAsia="zh-CN"/>
        </w:rPr>
        <w:t>意外</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lang w:val="en-US" w:eastAsia="zh-CN"/>
        </w:rPr>
        <w:t>对</w:t>
      </w:r>
      <w:r>
        <w:rPr>
          <w:rFonts w:hint="eastAsia" w:ascii="Times New Roman" w:hAnsi="宋体" w:eastAsia="宋体" w:cs="Times New Roman"/>
          <w:bCs/>
          <w:sz w:val="24"/>
          <w:highlight w:val="none"/>
        </w:rPr>
        <w:t>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lang w:val="en-US" w:eastAsia="zh-CN"/>
        </w:rPr>
        <w:t>力学</w:t>
      </w:r>
      <w:r>
        <w:rPr>
          <w:rFonts w:hint="eastAsia" w:ascii="Times New Roman" w:hAnsi="宋体" w:eastAsia="宋体" w:cs="Times New Roman"/>
          <w:bCs/>
          <w:sz w:val="24"/>
          <w:highlight w:val="none"/>
        </w:rPr>
        <w:t>性能</w:t>
      </w:r>
      <w:r>
        <w:rPr>
          <w:rFonts w:hint="eastAsia" w:ascii="Times New Roman" w:hAnsi="宋体" w:eastAsia="宋体" w:cs="Times New Roman"/>
          <w:bCs/>
          <w:sz w:val="24"/>
          <w:highlight w:val="none"/>
          <w:lang w:val="en-US" w:eastAsia="zh-CN"/>
        </w:rPr>
        <w:t>的影响</w:t>
      </w:r>
      <w:r>
        <w:rPr>
          <w:rFonts w:hint="eastAsia" w:ascii="Times New Roman" w:hAnsi="宋体" w:eastAsia="宋体" w:cs="Times New Roman"/>
          <w:bCs/>
          <w:sz w:val="24"/>
          <w:highlight w:val="none"/>
        </w:rPr>
        <w:t>规律，为建立</w:t>
      </w:r>
      <w:r>
        <w:rPr>
          <w:rFonts w:hint="eastAsia" w:ascii="Times New Roman" w:hAnsi="宋体" w:eastAsia="宋体" w:cs="Times New Roman"/>
          <w:bCs/>
          <w:sz w:val="24"/>
          <w:highlight w:val="none"/>
          <w:lang w:val="en-US" w:eastAsia="zh-CN"/>
        </w:rPr>
        <w:t>意外</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影响复合材料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力学性能预测方法提供数据支撑。</w:t>
      </w:r>
    </w:p>
    <w:p w14:paraId="005E18BD">
      <w:pPr>
        <w:numPr>
          <w:ilvl w:val="0"/>
          <w:numId w:val="73"/>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考虑装配现场的低速</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防护方法</w:t>
      </w:r>
    </w:p>
    <w:p w14:paraId="2B66029B">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在考虑</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物几何形状、跌落高度、</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角度等参数的情况下，研究低速</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影响复合材料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力学性能预测方法，实现</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后复合材料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力学性能的预测</w:t>
      </w:r>
      <w:r>
        <w:rPr>
          <w:rFonts w:hint="eastAsia" w:ascii="Times New Roman" w:hAnsi="宋体" w:eastAsia="宋体" w:cs="Times New Roman"/>
          <w:bCs/>
          <w:sz w:val="24"/>
          <w:highlight w:val="none"/>
          <w:lang w:val="en-US" w:eastAsia="zh-CN"/>
        </w:rPr>
        <w:t>评价</w:t>
      </w:r>
      <w:r>
        <w:rPr>
          <w:rFonts w:hint="eastAsia" w:ascii="Times New Roman" w:hAnsi="宋体" w:eastAsia="宋体" w:cs="Times New Roman"/>
          <w:bCs/>
          <w:sz w:val="24"/>
          <w:highlight w:val="none"/>
        </w:rPr>
        <w:t>，</w:t>
      </w:r>
      <w:r>
        <w:rPr>
          <w:rFonts w:hint="eastAsia" w:ascii="Times New Roman" w:hAnsi="宋体" w:eastAsia="宋体" w:cs="Times New Roman"/>
          <w:bCs/>
          <w:sz w:val="24"/>
          <w:highlight w:val="none"/>
          <w:lang w:val="en-US" w:eastAsia="zh-CN"/>
        </w:rPr>
        <w:t>并</w:t>
      </w:r>
      <w:r>
        <w:rPr>
          <w:rFonts w:hint="eastAsia" w:ascii="Times New Roman" w:hAnsi="宋体" w:eastAsia="宋体" w:cs="Times New Roman"/>
          <w:bCs/>
          <w:sz w:val="24"/>
          <w:highlight w:val="none"/>
        </w:rPr>
        <w:t>在考虑装配现场环境的基础上提出防护策略，为复合材料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安全服役提供保障。</w:t>
      </w:r>
    </w:p>
    <w:p w14:paraId="548A698E">
      <w:pPr>
        <w:spacing w:after="0" w:line="360" w:lineRule="auto"/>
        <w:ind w:firstLine="480" w:firstLineChars="200"/>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拟解决的关键技术</w:t>
      </w:r>
    </w:p>
    <w:p w14:paraId="51405749">
      <w:pPr>
        <w:numPr>
          <w:ilvl w:val="0"/>
          <w:numId w:val="74"/>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含</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损伤复合材料</w:t>
      </w:r>
      <w:r>
        <w:rPr>
          <w:rFonts w:hint="eastAsia" w:ascii="Times New Roman" w:hAnsi="宋体" w:eastAsia="宋体" w:cs="Times New Roman"/>
          <w:sz w:val="24"/>
          <w:highlight w:val="none"/>
          <w:lang w:eastAsia="zh-CN"/>
        </w:rPr>
        <w:t>结构</w:t>
      </w:r>
      <w:r>
        <w:rPr>
          <w:rFonts w:hint="eastAsia" w:ascii="Times New Roman" w:hAnsi="宋体" w:eastAsia="宋体" w:cs="Times New Roman"/>
          <w:sz w:val="24"/>
          <w:highlight w:val="none"/>
        </w:rPr>
        <w:t>力学性能预测技术</w:t>
      </w:r>
    </w:p>
    <w:p w14:paraId="2C9143BF">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在连接装配过程中发生的碰撞</w:t>
      </w:r>
      <w:r>
        <w:rPr>
          <w:rFonts w:hint="eastAsia" w:ascii="Times New Roman" w:hAnsi="宋体" w:eastAsia="宋体" w:cs="Times New Roman"/>
          <w:bCs/>
          <w:sz w:val="24"/>
          <w:highlight w:val="none"/>
          <w:lang w:val="en-US" w:eastAsia="zh-CN"/>
        </w:rPr>
        <w:t>情况复杂</w:t>
      </w:r>
      <w:r>
        <w:rPr>
          <w:rFonts w:hint="eastAsia" w:ascii="Times New Roman" w:hAnsi="宋体" w:eastAsia="宋体" w:cs="Times New Roman"/>
          <w:bCs/>
          <w:sz w:val="24"/>
          <w:highlight w:val="none"/>
        </w:rPr>
        <w:t>，也与研究中设计的</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情况不尽相同，如何在考虑</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损伤表面形貌及</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物几何和物理特征的前提下实现含</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损伤复合材料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力学性能的准确预测是本项目拟解决的关键技术。</w:t>
      </w:r>
    </w:p>
    <w:p w14:paraId="3CC7E304">
      <w:pPr>
        <w:numPr>
          <w:ilvl w:val="0"/>
          <w:numId w:val="74"/>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考虑装配现场可用性的低速</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防护技术</w:t>
      </w:r>
    </w:p>
    <w:p w14:paraId="0566376E">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飞机复合材料</w:t>
      </w:r>
      <w:r>
        <w:rPr>
          <w:rFonts w:hint="eastAsia" w:ascii="Times New Roman" w:hAnsi="宋体" w:eastAsia="宋体" w:cs="Times New Roman"/>
          <w:bCs/>
          <w:sz w:val="24"/>
          <w:highlight w:val="none"/>
          <w:lang w:eastAsia="zh-CN"/>
        </w:rPr>
        <w:t>结构</w:t>
      </w:r>
      <w:r>
        <w:rPr>
          <w:rFonts w:hint="eastAsia" w:ascii="Times New Roman" w:hAnsi="宋体" w:eastAsia="宋体" w:cs="Times New Roman"/>
          <w:bCs/>
          <w:sz w:val="24"/>
          <w:highlight w:val="none"/>
        </w:rPr>
        <w:t>装配现场环境复杂，装配工具发生掉落的情况偶发性强。如何在不影响装配操作的情况下，给出适用于不同装配场景的防</w:t>
      </w:r>
      <w:r>
        <w:rPr>
          <w:rFonts w:hint="eastAsia" w:ascii="Times New Roman" w:hAnsi="宋体" w:eastAsia="宋体" w:cs="Times New Roman"/>
          <w:bCs/>
          <w:sz w:val="24"/>
          <w:highlight w:val="none"/>
          <w:lang w:eastAsia="zh-CN"/>
        </w:rPr>
        <w:t>撞击</w:t>
      </w:r>
      <w:r>
        <w:rPr>
          <w:rFonts w:hint="eastAsia" w:ascii="Times New Roman" w:hAnsi="宋体" w:eastAsia="宋体" w:cs="Times New Roman"/>
          <w:bCs/>
          <w:sz w:val="24"/>
          <w:highlight w:val="none"/>
        </w:rPr>
        <w:t>策略是本项目拟解决的关键技术之一，也是本项目研究的最终目标。</w:t>
      </w:r>
    </w:p>
    <w:p w14:paraId="211D21A4">
      <w:pPr>
        <w:spacing w:after="0" w:line="360" w:lineRule="auto"/>
        <w:ind w:firstLine="480" w:firstLineChars="200"/>
        <w:rPr>
          <w:rFonts w:hint="eastAsia" w:ascii="Times New Roman" w:hAnsi="宋体" w:eastAsia="宋体" w:cs="Times New Roman"/>
          <w:b/>
          <w:sz w:val="24"/>
          <w:highlight w:val="none"/>
        </w:rPr>
      </w:pPr>
      <w:r>
        <w:rPr>
          <w:rFonts w:hint="eastAsia" w:ascii="Times New Roman" w:hAnsi="宋体" w:eastAsia="宋体" w:cs="Times New Roman"/>
          <w:b/>
          <w:sz w:val="24"/>
          <w:highlight w:val="none"/>
        </w:rPr>
        <w:t>研究结果的验证方式</w:t>
      </w:r>
    </w:p>
    <w:p w14:paraId="30FC3692">
      <w:pPr>
        <w:numPr>
          <w:ilvl w:val="0"/>
          <w:numId w:val="75"/>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实物验证；</w:t>
      </w:r>
    </w:p>
    <w:p w14:paraId="216FA181">
      <w:pPr>
        <w:numPr>
          <w:ilvl w:val="0"/>
          <w:numId w:val="75"/>
        </w:numPr>
        <w:spacing w:after="0" w:line="360" w:lineRule="auto"/>
        <w:ind w:firstLine="480" w:firstLineChars="200"/>
        <w:rPr>
          <w:rFonts w:hint="default" w:ascii="Times New Roman" w:hAnsi="宋体" w:eastAsia="宋体" w:cs="Times New Roman"/>
          <w:sz w:val="24"/>
          <w:highlight w:val="none"/>
          <w:lang w:val="en-US" w:eastAsia="zh-CN"/>
        </w:rPr>
      </w:pPr>
      <w:r>
        <w:rPr>
          <w:rFonts w:hint="eastAsia" w:ascii="Times New Roman" w:hAnsi="宋体" w:eastAsia="宋体" w:cs="Times New Roman"/>
          <w:sz w:val="24"/>
          <w:highlight w:val="none"/>
          <w:lang w:val="en-US" w:eastAsia="zh-CN"/>
        </w:rPr>
        <w:t>仿真验证。</w:t>
      </w:r>
    </w:p>
    <w:p w14:paraId="0291DB5A">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预期成果</w:t>
      </w:r>
    </w:p>
    <w:p w14:paraId="4CA8A076">
      <w:pPr>
        <w:numPr>
          <w:ilvl w:val="0"/>
          <w:numId w:val="76"/>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lang w:val="en-US" w:eastAsia="zh-CN"/>
        </w:rPr>
        <w:t>面向</w:t>
      </w:r>
      <w:r>
        <w:rPr>
          <w:rFonts w:hint="eastAsia" w:ascii="Times New Roman" w:hAnsi="宋体" w:eastAsia="宋体" w:cs="Times New Roman"/>
          <w:sz w:val="24"/>
          <w:highlight w:val="none"/>
        </w:rPr>
        <w:t>装配场景的</w:t>
      </w:r>
      <w:r>
        <w:rPr>
          <w:rFonts w:hint="eastAsia" w:ascii="Times New Roman" w:hAnsi="宋体" w:eastAsia="宋体" w:cs="Times New Roman"/>
          <w:sz w:val="24"/>
          <w:highlight w:val="none"/>
          <w:lang w:val="en-US" w:eastAsia="zh-CN"/>
        </w:rPr>
        <w:t>意外</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防护策略</w:t>
      </w:r>
      <w:r>
        <w:rPr>
          <w:rFonts w:hint="eastAsia" w:ascii="Times New Roman" w:hAnsi="宋体" w:eastAsia="宋体" w:cs="Times New Roman"/>
          <w:sz w:val="24"/>
          <w:highlight w:val="none"/>
          <w:lang w:val="en-US" w:eastAsia="zh-CN"/>
        </w:rPr>
        <w:t>1套</w:t>
      </w:r>
      <w:r>
        <w:rPr>
          <w:rFonts w:hint="eastAsia" w:ascii="Times New Roman" w:hAnsi="宋体" w:eastAsia="宋体" w:cs="Times New Roman"/>
          <w:sz w:val="24"/>
          <w:highlight w:val="none"/>
        </w:rPr>
        <w:t>；</w:t>
      </w:r>
    </w:p>
    <w:p w14:paraId="3E606857">
      <w:pPr>
        <w:numPr>
          <w:ilvl w:val="0"/>
          <w:numId w:val="76"/>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低速</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影响复合材料</w:t>
      </w:r>
      <w:r>
        <w:rPr>
          <w:rFonts w:hint="eastAsia" w:ascii="Times New Roman" w:hAnsi="宋体" w:eastAsia="宋体" w:cs="Times New Roman"/>
          <w:sz w:val="24"/>
          <w:highlight w:val="none"/>
          <w:lang w:eastAsia="zh-CN"/>
        </w:rPr>
        <w:t>结构</w:t>
      </w:r>
      <w:r>
        <w:rPr>
          <w:rFonts w:hint="eastAsia" w:ascii="Times New Roman" w:hAnsi="宋体" w:eastAsia="宋体" w:cs="Times New Roman"/>
          <w:sz w:val="24"/>
          <w:highlight w:val="none"/>
        </w:rPr>
        <w:t>性能研究报告不少于3篇；</w:t>
      </w:r>
    </w:p>
    <w:p w14:paraId="2E9947D8">
      <w:pPr>
        <w:numPr>
          <w:ilvl w:val="0"/>
          <w:numId w:val="76"/>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复合材料</w:t>
      </w:r>
      <w:r>
        <w:rPr>
          <w:rFonts w:hint="eastAsia" w:ascii="Times New Roman" w:hAnsi="宋体" w:eastAsia="宋体" w:cs="Times New Roman"/>
          <w:sz w:val="24"/>
          <w:highlight w:val="none"/>
          <w:lang w:val="en-US" w:eastAsia="zh-CN"/>
        </w:rPr>
        <w:t>装配意外</w:t>
      </w:r>
      <w:r>
        <w:rPr>
          <w:rFonts w:hint="eastAsia" w:ascii="Times New Roman" w:hAnsi="宋体" w:eastAsia="宋体" w:cs="Times New Roman"/>
          <w:sz w:val="24"/>
          <w:highlight w:val="none"/>
          <w:lang w:eastAsia="zh-CN"/>
        </w:rPr>
        <w:t>撞击</w:t>
      </w:r>
      <w:r>
        <w:rPr>
          <w:rFonts w:hint="eastAsia" w:ascii="Times New Roman" w:hAnsi="宋体" w:eastAsia="宋体" w:cs="Times New Roman"/>
          <w:sz w:val="24"/>
          <w:highlight w:val="none"/>
        </w:rPr>
        <w:t>仿真模型不少于5个；</w:t>
      </w:r>
    </w:p>
    <w:p w14:paraId="17F37CF8">
      <w:pPr>
        <w:numPr>
          <w:ilvl w:val="0"/>
          <w:numId w:val="76"/>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申请发明专利1件；</w:t>
      </w:r>
    </w:p>
    <w:p w14:paraId="5DE76B16">
      <w:pPr>
        <w:numPr>
          <w:ilvl w:val="0"/>
          <w:numId w:val="76"/>
        </w:numPr>
        <w:spacing w:after="0" w:line="360" w:lineRule="auto"/>
        <w:ind w:firstLine="480" w:firstLineChars="200"/>
        <w:rPr>
          <w:rFonts w:hint="eastAsia" w:ascii="Times New Roman" w:hAnsi="宋体" w:eastAsia="宋体" w:cs="Times New Roman"/>
          <w:sz w:val="24"/>
          <w:highlight w:val="none"/>
        </w:rPr>
      </w:pPr>
      <w:r>
        <w:rPr>
          <w:rFonts w:hint="eastAsia" w:ascii="Times New Roman" w:hAnsi="宋体" w:eastAsia="宋体" w:cs="Times New Roman"/>
          <w:sz w:val="24"/>
          <w:highlight w:val="none"/>
        </w:rPr>
        <w:t>发表研究论文1-2篇。</w:t>
      </w:r>
    </w:p>
    <w:p w14:paraId="72D9438C">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建议研究周期和启动时间</w:t>
      </w:r>
    </w:p>
    <w:p w14:paraId="68ABF201">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24个月。</w:t>
      </w:r>
    </w:p>
    <w:p w14:paraId="2CED15B3">
      <w:pPr>
        <w:numPr>
          <w:ilvl w:val="0"/>
          <w:numId w:val="71"/>
        </w:numPr>
        <w:spacing w:after="0" w:line="440" w:lineRule="exact"/>
        <w:ind w:left="5" w:leftChars="0"/>
        <w:rPr>
          <w:rFonts w:hint="eastAsia" w:ascii="Times New Roman" w:hAnsi="黑体" w:eastAsia="黑体" w:cs="Times New Roman"/>
          <w:sz w:val="24"/>
          <w:szCs w:val="22"/>
          <w:highlight w:val="none"/>
        </w:rPr>
      </w:pPr>
      <w:r>
        <w:rPr>
          <w:rFonts w:hint="eastAsia" w:ascii="Times New Roman" w:hAnsi="黑体" w:eastAsia="黑体" w:cs="Times New Roman"/>
          <w:sz w:val="24"/>
          <w:szCs w:val="22"/>
          <w:highlight w:val="none"/>
        </w:rPr>
        <w:t>所需研究经费</w:t>
      </w:r>
    </w:p>
    <w:p w14:paraId="31113F52">
      <w:pPr>
        <w:spacing w:after="0" w:line="440" w:lineRule="exact"/>
        <w:ind w:left="5" w:firstLine="480" w:firstLineChars="200"/>
        <w:rPr>
          <w:rFonts w:hint="eastAsia" w:ascii="Times New Roman" w:hAnsi="宋体" w:eastAsia="宋体" w:cs="Times New Roman"/>
          <w:bCs/>
          <w:sz w:val="24"/>
          <w:highlight w:val="none"/>
        </w:rPr>
      </w:pPr>
      <w:r>
        <w:rPr>
          <w:rFonts w:hint="eastAsia" w:ascii="Times New Roman" w:hAnsi="宋体" w:eastAsia="宋体" w:cs="Times New Roman"/>
          <w:bCs/>
          <w:sz w:val="24"/>
          <w:highlight w:val="none"/>
        </w:rPr>
        <w:t>50万元。</w:t>
      </w:r>
    </w:p>
    <w:p w14:paraId="417D47F9">
      <w:pPr>
        <w:keepNext w:val="0"/>
        <w:keepLines w:val="0"/>
        <w:pageBreakBefore w:val="0"/>
        <w:widowControl w:val="0"/>
        <w:kinsoku/>
        <w:wordWrap/>
        <w:overflowPunct/>
        <w:topLinePunct w:val="0"/>
        <w:autoSpaceDE/>
        <w:autoSpaceDN/>
        <w:bidi w:val="0"/>
        <w:adjustRightInd/>
        <w:snapToGrid/>
        <w:spacing w:after="0" w:line="240" w:lineRule="auto"/>
        <w:ind w:left="0" w:firstLine="480" w:firstLineChars="200"/>
        <w:textAlignment w:val="auto"/>
        <w:outlineLvl w:val="9"/>
        <w:rPr>
          <w:rFonts w:hint="eastAsia" w:ascii="Times New Roman" w:hAnsi="宋体" w:eastAsia="宋体" w:cs="Times New Roman"/>
          <w:bCs/>
          <w:sz w:val="24"/>
          <w:szCs w:val="24"/>
          <w:highlight w:val="none"/>
        </w:rPr>
      </w:pPr>
    </w:p>
    <w:p w14:paraId="5603FEE2">
      <w:pPr>
        <w:pStyle w:val="8"/>
        <w:pageBreakBefore w:val="0"/>
        <w:kinsoku/>
        <w:wordWrap/>
        <w:overflowPunct/>
        <w:topLinePunct w:val="0"/>
        <w:autoSpaceDE/>
        <w:autoSpaceDN/>
        <w:bidi w:val="0"/>
        <w:adjustRightInd/>
        <w:spacing w:line="240" w:lineRule="auto"/>
        <w:rPr>
          <w:highlight w:val="none"/>
        </w:rPr>
      </w:pPr>
    </w:p>
    <w:p w14:paraId="273BA049">
      <w:pPr>
        <w:pStyle w:val="8"/>
        <w:pageBreakBefore w:val="0"/>
        <w:kinsoku/>
        <w:wordWrap/>
        <w:overflowPunct/>
        <w:topLinePunct w:val="0"/>
        <w:autoSpaceDE/>
        <w:autoSpaceDN/>
        <w:bidi w:val="0"/>
        <w:adjustRightInd/>
        <w:spacing w:line="240" w:lineRule="auto"/>
        <w:rPr>
          <w:highlight w:val="none"/>
        </w:rPr>
      </w:pPr>
    </w:p>
    <w:p w14:paraId="5E79E2D6">
      <w:pPr>
        <w:pStyle w:val="8"/>
        <w:pageBreakBefore w:val="0"/>
        <w:kinsoku/>
        <w:wordWrap/>
        <w:overflowPunct/>
        <w:topLinePunct w:val="0"/>
        <w:autoSpaceDE/>
        <w:autoSpaceDN/>
        <w:bidi w:val="0"/>
        <w:adjustRightInd/>
        <w:spacing w:line="240" w:lineRule="auto"/>
        <w:rPr>
          <w:highlight w:val="none"/>
        </w:rPr>
        <w:sectPr>
          <w:pgSz w:w="11906" w:h="16838"/>
          <w:pgMar w:top="1440" w:right="1800" w:bottom="1440" w:left="1800" w:header="851" w:footer="992" w:gutter="0"/>
          <w:cols w:space="425" w:num="1"/>
          <w:docGrid w:type="lines" w:linePitch="312" w:charSpace="0"/>
        </w:sectPr>
      </w:pPr>
    </w:p>
    <w:p w14:paraId="477462AE">
      <w:pPr>
        <w:pStyle w:val="2"/>
        <w:pageBreakBefore w:val="0"/>
        <w:kinsoku/>
        <w:wordWrap/>
        <w:topLinePunct w:val="0"/>
        <w:autoSpaceDE/>
        <w:autoSpaceDN/>
        <w:bidi w:val="0"/>
        <w:spacing w:line="240" w:lineRule="auto"/>
        <w:rPr>
          <w:rFonts w:hint="eastAsia" w:eastAsia="宋体"/>
          <w:highlight w:val="none"/>
          <w:lang w:val="en-US"/>
        </w:rPr>
      </w:pPr>
      <w:bookmarkStart w:id="38" w:name="_Toc8803"/>
      <w:bookmarkStart w:id="39" w:name="_Toc3170"/>
      <w:r>
        <w:rPr>
          <w:rFonts w:hint="eastAsia" w:eastAsia="宋体"/>
          <w:highlight w:val="none"/>
          <w:lang w:val="en-US" w:eastAsia="zh-CN"/>
        </w:rPr>
        <w:t>高时变环境下移载装备全景导航技术研究</w:t>
      </w:r>
      <w:bookmarkEnd w:id="38"/>
    </w:p>
    <w:p w14:paraId="0B8942DB">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79DC0C60">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highlight w:val="none"/>
        </w:rPr>
        <w:t>在C919二期总装产线中，移载工装需在飞机产品及各工装持续移动的高</w:t>
      </w:r>
      <w:r>
        <w:rPr>
          <w:rFonts w:ascii="宋体" w:hAnsi="宋体" w:eastAsia="宋体" w:cs="宋体"/>
          <w:sz w:val="24"/>
          <w:highlight w:val="none"/>
        </w:rPr>
        <w:t>时变</w:t>
      </w:r>
      <w:r>
        <w:rPr>
          <w:rFonts w:hint="eastAsia" w:ascii="宋体" w:hAnsi="宋体" w:eastAsia="宋体" w:cs="宋体"/>
          <w:sz w:val="24"/>
          <w:highlight w:val="none"/>
        </w:rPr>
        <w:t>动态</w:t>
      </w:r>
      <w:r>
        <w:rPr>
          <w:rFonts w:ascii="宋体" w:hAnsi="宋体" w:eastAsia="宋体" w:cs="宋体"/>
          <w:sz w:val="24"/>
          <w:highlight w:val="none"/>
        </w:rPr>
        <w:t>环境</w:t>
      </w:r>
      <w:r>
        <w:rPr>
          <w:rFonts w:hint="eastAsia" w:ascii="宋体" w:hAnsi="宋体" w:eastAsia="宋体" w:cs="宋体"/>
          <w:sz w:val="24"/>
          <w:highlight w:val="none"/>
        </w:rPr>
        <w:t>下自主完成精确复位导航。传统SLAM技术依赖环境特征构建地图，因环境特征主体（飞机、移载平台等）不断变化，易造成特征失效，定位精度下降，甚至定位中断；地面色带、二维码等标识则难以应对重型碾压与布局调整，维护成本高昂；室内GPS系统在主体大角度旋转时容易产生视线遮挡，造成定位失效。本项目旨在突破现有技术局限，借鉴智能驾驶思路，研究基于动态感知解耦与静态全局锚定相结合的全景导航新范式，通过智能学习算法，实时识别并滤除场景中的动态干扰物体（飞机、移载平台等），并锁定厂房固有静态结构（墙体、立柱、固定设备等）作为绝对定位基准，从而实现复杂动态产线下，不依赖预设地图与地面标识的鲁棒、精准自主复位。</w:t>
      </w:r>
    </w:p>
    <w:p w14:paraId="4DFABD0C">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0C09921F">
      <w:pPr>
        <w:pageBreakBefore w:val="0"/>
        <w:kinsoku/>
        <w:wordWrap/>
        <w:topLinePunct w:val="0"/>
        <w:autoSpaceDE/>
        <w:autoSpaceDN/>
        <w:bidi w:val="0"/>
        <w:spacing w:line="24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工艺装备</w:t>
      </w:r>
    </w:p>
    <w:p w14:paraId="7338120E">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4AFE53B4">
      <w:pPr>
        <w:pageBreakBefore w:val="0"/>
        <w:kinsoku/>
        <w:wordWrap/>
        <w:topLinePunct w:val="0"/>
        <w:autoSpaceDE/>
        <w:autoSpaceDN/>
        <w:bidi w:val="0"/>
        <w:spacing w:line="24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b/>
          <w:bCs/>
          <w:sz w:val="24"/>
          <w:szCs w:val="24"/>
          <w:highlight w:val="none"/>
        </w:rPr>
        <w:t>项目目标：</w:t>
      </w:r>
      <w:r>
        <w:rPr>
          <w:rFonts w:hint="eastAsia" w:ascii="宋体" w:hAnsi="宋体" w:eastAsia="宋体" w:cs="宋体"/>
          <w:color w:val="FF0000"/>
          <w:sz w:val="24"/>
          <w:szCs w:val="24"/>
          <w:highlight w:val="none"/>
        </w:rPr>
        <w:t xml:space="preserve"> </w:t>
      </w:r>
    </w:p>
    <w:p w14:paraId="329201F0">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面向飞机总装车间内移载平台、定位器、飞机产品等多类物体协同运动的极端动态环境，研发一套融合</w:t>
      </w:r>
      <w:r>
        <w:rPr>
          <w:rFonts w:hint="eastAsia" w:ascii="宋体" w:hAnsi="宋体" w:eastAsia="宋体" w:cs="宋体"/>
          <w:b w:val="0"/>
          <w:bCs w:val="0"/>
          <w:sz w:val="24"/>
          <w:highlight w:val="none"/>
        </w:rPr>
        <w:t>视觉激光</w:t>
      </w:r>
      <w:r>
        <w:rPr>
          <w:rFonts w:hint="eastAsia" w:ascii="宋体" w:hAnsi="宋体" w:eastAsia="宋体" w:cs="宋体"/>
          <w:b w:val="0"/>
          <w:bCs w:val="0"/>
          <w:sz w:val="24"/>
          <w:szCs w:val="24"/>
          <w:highlight w:val="none"/>
        </w:rPr>
        <w:t>全景信息、具有场景理解能力的重载移载装备自主导航系统。突破动态场景解耦感知、相对运动关系建模与鲁棒协同导航决策等关键技术，实现移载装备在背景静止、多体协同运动与随机干扰并存的环境下，仍能完成精准、连续的定位与导航。完成系统原理验证与原型开发，并在模拟或典型总装环境中进行演示验证。</w:t>
      </w:r>
    </w:p>
    <w:p w14:paraId="7AA0D343">
      <w:pPr>
        <w:pageBreakBefore w:val="0"/>
        <w:kinsoku/>
        <w:wordWrap/>
        <w:topLinePunct w:val="0"/>
        <w:autoSpaceDE/>
        <w:autoSpaceDN/>
        <w:bidi w:val="0"/>
        <w:spacing w:line="240" w:lineRule="auto"/>
        <w:ind w:firstLine="480"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技术指标：</w:t>
      </w:r>
    </w:p>
    <w:p w14:paraId="5687F7EC">
      <w:pPr>
        <w:pageBreakBefore w:val="0"/>
        <w:numPr>
          <w:ilvl w:val="0"/>
          <w:numId w:val="78"/>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建立移载、对接等包含协同运动设备（模拟移载平台与定位器运动）3个以上典型工况的动态测试用例，有效定位信息覆盖率超过99%；</w:t>
      </w:r>
    </w:p>
    <w:p w14:paraId="496E4334">
      <w:pPr>
        <w:pageBreakBefore w:val="0"/>
        <w:numPr>
          <w:ilvl w:val="0"/>
          <w:numId w:val="78"/>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相对于车间固定参考系（如厂房立柱），静态环境下定位精度：位置误差≤±30mm，航向角误差≤±0.8°；在模拟飞机部件缓慢移动的背景下，相对位置保持精度≤±15mm；</w:t>
      </w:r>
    </w:p>
    <w:p w14:paraId="7DA40CE4">
      <w:pPr>
        <w:pageBreakBefore w:val="0"/>
        <w:numPr>
          <w:ilvl w:val="0"/>
          <w:numId w:val="78"/>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系统能正确辨识并区分“协同运动体”（需保持相对位姿）与“独立动态障碍”（需避让），辨识准确率≥95%；</w:t>
      </w:r>
    </w:p>
    <w:p w14:paraId="7633B8FD">
      <w:pPr>
        <w:pageBreakBefore w:val="0"/>
        <w:numPr>
          <w:ilvl w:val="0"/>
          <w:numId w:val="78"/>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兼容现有导航定位技术，在全局定位信号（如室内GPS）短时丢失（≤30秒）后，能通过全景导航实现无缝自主接力定位，定位漂移≤±50mm；</w:t>
      </w:r>
    </w:p>
    <w:p w14:paraId="0E2F81BD">
      <w:pPr>
        <w:pageBreakBefore w:val="0"/>
        <w:numPr>
          <w:ilvl w:val="0"/>
          <w:numId w:val="78"/>
        </w:numPr>
        <w:kinsoku/>
        <w:wordWrap/>
        <w:topLinePunct w:val="0"/>
        <w:autoSpaceDE/>
        <w:autoSpaceDN/>
        <w:bidi w:val="0"/>
        <w:spacing w:line="240" w:lineRule="auto"/>
        <w:ind w:left="0" w:leftChars="0" w:firstLine="480" w:firstLineChars="200"/>
        <w:rPr>
          <w:rFonts w:hint="eastAsia" w:ascii="宋体" w:hAnsi="宋体" w:eastAsia="宋体" w:cs="宋体"/>
          <w:bCs/>
          <w:sz w:val="24"/>
          <w:szCs w:val="24"/>
          <w:highlight w:val="none"/>
        </w:rPr>
      </w:pPr>
      <w:r>
        <w:rPr>
          <w:rFonts w:hint="eastAsia" w:ascii="宋体" w:hAnsi="宋体" w:eastAsia="宋体"/>
          <w:bCs/>
          <w:sz w:val="24"/>
          <w:highlight w:val="none"/>
          <w:lang w:val="en-US" w:eastAsia="zh-CN"/>
        </w:rPr>
        <w:t>技术</w:t>
      </w:r>
      <w:r>
        <w:rPr>
          <w:rFonts w:hint="eastAsia" w:ascii="宋体" w:hAnsi="宋体" w:eastAsia="宋体" w:cs="黑体"/>
          <w:sz w:val="24"/>
          <w:szCs w:val="22"/>
          <w:highlight w:val="none"/>
        </w:rPr>
        <w:t>成熟度提升至TRL5（部件和/或试验板在相关环境中验证）。</w:t>
      </w:r>
    </w:p>
    <w:p w14:paraId="7489F7D2">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29038DB5">
      <w:pPr>
        <w:pageBreakBefore w:val="0"/>
        <w:kinsoku/>
        <w:wordWrap/>
        <w:topLinePunct w:val="0"/>
        <w:autoSpaceDE/>
        <w:autoSpaceDN/>
        <w:bidi w:val="0"/>
        <w:spacing w:line="240" w:lineRule="auto"/>
        <w:ind w:firstLine="480" w:firstLineChars="200"/>
        <w:rPr>
          <w:rFonts w:hint="eastAsia" w:ascii="宋体" w:hAnsi="宋体" w:eastAsia="宋体"/>
          <w:b/>
          <w:sz w:val="24"/>
          <w:highlight w:val="none"/>
        </w:rPr>
      </w:pPr>
      <w:r>
        <w:rPr>
          <w:rFonts w:hint="eastAsia" w:ascii="宋体" w:hAnsi="宋体" w:eastAsia="宋体"/>
          <w:b/>
          <w:sz w:val="24"/>
          <w:highlight w:val="none"/>
        </w:rPr>
        <w:t>主要研究内容</w:t>
      </w:r>
    </w:p>
    <w:p w14:paraId="0A44A31A">
      <w:pPr>
        <w:pageBreakBefore w:val="0"/>
        <w:numPr>
          <w:ilvl w:val="0"/>
          <w:numId w:val="79"/>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多体协同动态场景的全景解耦感知技术研究</w:t>
      </w:r>
    </w:p>
    <w:p w14:paraId="4F676F80">
      <w:pPr>
        <w:pageBreakBefore w:val="0"/>
        <w:numPr>
          <w:ilvl w:val="0"/>
          <w:numId w:val="0"/>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研究适用于广角畸变图像及车间变化照明的高速动态目标检测与实例分割算法。开发基于运动特征与语义信息融合的分类模型，实现对“车间固定结构”、“协同作业移动单元”（集群运动的AGV、定位器、产品）及“随机独立动态障碍”（人员、工具车）的实时区分与跟踪。</w:t>
      </w:r>
    </w:p>
    <w:p w14:paraId="4E1AF5D8">
      <w:pPr>
        <w:pageBreakBefore w:val="0"/>
        <w:numPr>
          <w:ilvl w:val="0"/>
          <w:numId w:val="79"/>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基于相对运动约束的鲁棒视觉定位与高精度地图构建技术研究</w:t>
      </w:r>
    </w:p>
    <w:p w14:paraId="1746BC13">
      <w:pPr>
        <w:pageBreakBefore w:val="0"/>
        <w:numPr>
          <w:ilvl w:val="0"/>
          <w:numId w:val="0"/>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研究不依赖于全局静态特征的视觉定位方法。构建以“协同作业单元”为局部参考系的相对定位模型，利用已知的移载平台与定位器之间的运动学约束，作为视觉与激光全景定位的优化条件，有效抑制纯视觉方法的累计漂移。研究动态物体的运动预测与过滤，提高构建的导航地图精度、完整性、和更新效率。研究基于自适应滤波的前端数据融合算法及后端数据处理算法，设计多源数据自适应联合优化框架，实现传统信号失效工况下高精度位姿估计。</w:t>
      </w:r>
    </w:p>
    <w:p w14:paraId="52E960E0">
      <w:pPr>
        <w:pageBreakBefore w:val="0"/>
        <w:numPr>
          <w:ilvl w:val="0"/>
          <w:numId w:val="79"/>
        </w:numPr>
        <w:kinsoku/>
        <w:wordWrap/>
        <w:topLinePunct w:val="0"/>
        <w:autoSpaceDE/>
        <w:autoSpaceDN/>
        <w:bidi w:val="0"/>
        <w:spacing w:line="240" w:lineRule="auto"/>
        <w:ind w:left="0" w:leftChars="0" w:firstLine="480" w:firstLineChars="200"/>
        <w:rPr>
          <w:rFonts w:hint="eastAsia" w:ascii="宋体" w:hAnsi="宋体" w:eastAsia="宋体"/>
          <w:bCs/>
          <w:sz w:val="24"/>
          <w:highlight w:val="none"/>
          <w:lang w:val="en-US" w:eastAsia="zh-CN"/>
        </w:rPr>
      </w:pPr>
      <w:r>
        <w:rPr>
          <w:rFonts w:hint="eastAsia" w:ascii="宋体" w:hAnsi="宋体" w:eastAsia="宋体"/>
          <w:bCs/>
          <w:sz w:val="24"/>
          <w:highlight w:val="none"/>
          <w:lang w:val="en-US" w:eastAsia="zh-CN"/>
        </w:rPr>
        <w:t>面向协同作业的动态场景导航规划与控制技术研究</w:t>
      </w:r>
    </w:p>
    <w:p w14:paraId="62E67EBD">
      <w:pPr>
        <w:pageBreakBefore w:val="0"/>
        <w:numPr>
          <w:ilvl w:val="0"/>
          <w:numId w:val="0"/>
        </w:numPr>
        <w:kinsoku/>
        <w:wordWrap/>
        <w:topLinePunct w:val="0"/>
        <w:autoSpaceDE/>
        <w:autoSpaceDN/>
        <w:bidi w:val="0"/>
        <w:spacing w:line="240" w:lineRule="auto"/>
        <w:ind w:left="0" w:leftChars="0" w:firstLine="480" w:firstLineChars="200"/>
        <w:rPr>
          <w:rFonts w:hint="eastAsia"/>
          <w:highlight w:val="none"/>
        </w:rPr>
      </w:pPr>
      <w:r>
        <w:rPr>
          <w:rFonts w:hint="eastAsia" w:ascii="宋体" w:hAnsi="宋体" w:eastAsia="宋体"/>
          <w:bCs/>
          <w:sz w:val="24"/>
          <w:highlight w:val="none"/>
          <w:lang w:val="en-US" w:eastAsia="zh-CN"/>
        </w:rPr>
        <w:t>研究基于动态语义地图的实时路径搜索与安全走廊构建算法。设计考虑重载AGV动力学特性和协同运动体预期轨迹的轨迹预测与避撞策略。开发“相对定位-绝对校正”混合导航模式，在无全局信号时依赖相对导航维持作业，在信号恢复时进行全局一致性校正。</w:t>
      </w:r>
    </w:p>
    <w:p w14:paraId="6391FC37">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4FC80AF6">
      <w:pPr>
        <w:pageBreakBefore w:val="0"/>
        <w:widowControl/>
        <w:numPr>
          <w:ilvl w:val="0"/>
          <w:numId w:val="8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适用于动态总装环境的视觉激光全景感知与导航计算单元原型2套；</w:t>
      </w:r>
    </w:p>
    <w:p w14:paraId="35E46EF8">
      <w:pPr>
        <w:pageBreakBefore w:val="0"/>
        <w:widowControl/>
        <w:numPr>
          <w:ilvl w:val="0"/>
          <w:numId w:val="8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动态场景解耦感知软件、鲁棒视觉相对定位软件及协同导航决策软件模块各1套（含核心算法源代码）；</w:t>
      </w:r>
    </w:p>
    <w:p w14:paraId="132CC180">
      <w:pPr>
        <w:pageBreakBefore w:val="0"/>
        <w:widowControl/>
        <w:numPr>
          <w:ilvl w:val="0"/>
          <w:numId w:val="8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技术研究报告与测试分析报告1份；</w:t>
      </w:r>
    </w:p>
    <w:p w14:paraId="257C774A">
      <w:pPr>
        <w:pageBreakBefore w:val="0"/>
        <w:widowControl/>
        <w:numPr>
          <w:ilvl w:val="0"/>
          <w:numId w:val="8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国家发明专利2项（交底书，涉及动态解耦感知与相对定位方法）；</w:t>
      </w:r>
    </w:p>
    <w:p w14:paraId="33D9F0EC">
      <w:pPr>
        <w:pageBreakBefore w:val="0"/>
        <w:widowControl/>
        <w:numPr>
          <w:ilvl w:val="0"/>
          <w:numId w:val="8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仿真测试平台及典型动态场景数据集1套</w:t>
      </w:r>
    </w:p>
    <w:p w14:paraId="3E37A224">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1CB8DEFE">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cs="宋体"/>
          <w:iCs/>
          <w:sz w:val="24"/>
          <w:szCs w:val="24"/>
          <w:highlight w:val="none"/>
          <w:lang w:val="en-US" w:eastAsia="zh-CN"/>
        </w:rPr>
        <w:t>24</w:t>
      </w:r>
      <w:r>
        <w:rPr>
          <w:rFonts w:hint="eastAsia" w:ascii="宋体" w:hAnsi="宋体" w:eastAsia="宋体" w:cs="宋体"/>
          <w:iCs/>
          <w:sz w:val="24"/>
          <w:szCs w:val="24"/>
          <w:highlight w:val="none"/>
        </w:rPr>
        <w:t>个月</w:t>
      </w:r>
      <w:r>
        <w:rPr>
          <w:rFonts w:hint="eastAsia" w:ascii="宋体" w:hAnsi="宋体" w:eastAsia="宋体" w:cs="宋体"/>
          <w:iCs/>
          <w:sz w:val="24"/>
          <w:szCs w:val="24"/>
          <w:highlight w:val="none"/>
          <w:lang w:eastAsia="zh-CN"/>
        </w:rPr>
        <w:t>。</w:t>
      </w:r>
    </w:p>
    <w:p w14:paraId="61060DCE">
      <w:pPr>
        <w:pageBreakBefore w:val="0"/>
        <w:numPr>
          <w:ilvl w:val="0"/>
          <w:numId w:val="77"/>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7486CDBE">
      <w:pPr>
        <w:pageBreakBefore w:val="0"/>
        <w:kinsoku/>
        <w:wordWrap/>
        <w:overflowPunct/>
        <w:topLinePunct w:val="0"/>
        <w:autoSpaceDE/>
        <w:autoSpaceDN/>
        <w:bidi w:val="0"/>
        <w:adjustRightInd/>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iCs/>
          <w:sz w:val="24"/>
          <w:szCs w:val="24"/>
          <w:highlight w:val="none"/>
        </w:rPr>
        <w:t>50</w:t>
      </w:r>
      <w:r>
        <w:rPr>
          <w:rFonts w:hint="eastAsia" w:ascii="宋体" w:hAnsi="宋体" w:eastAsia="宋体" w:cs="宋体"/>
          <w:sz w:val="24"/>
          <w:szCs w:val="24"/>
          <w:highlight w:val="none"/>
        </w:rPr>
        <w:t>万元。</w:t>
      </w:r>
      <w:bookmarkEnd w:id="39"/>
    </w:p>
    <w:p w14:paraId="3F1BD824">
      <w:pPr>
        <w:pageBreakBefore w:val="0"/>
        <w:kinsoku/>
        <w:wordWrap/>
        <w:overflowPunct/>
        <w:topLinePunct w:val="0"/>
        <w:autoSpaceDE/>
        <w:autoSpaceDN/>
        <w:bidi w:val="0"/>
        <w:adjustRightInd/>
        <w:spacing w:line="240" w:lineRule="auto"/>
        <w:rPr>
          <w:rFonts w:hint="eastAsia" w:ascii="宋体" w:hAnsi="宋体" w:eastAsia="宋体" w:cs="宋体"/>
          <w:b w:val="0"/>
          <w:sz w:val="24"/>
          <w:szCs w:val="24"/>
          <w:highlight w:val="none"/>
        </w:rPr>
      </w:pPr>
    </w:p>
    <w:p w14:paraId="1C5F364A">
      <w:pPr>
        <w:pStyle w:val="8"/>
        <w:pageBreakBefore w:val="0"/>
        <w:kinsoku/>
        <w:wordWrap/>
        <w:overflowPunct/>
        <w:topLinePunct w:val="0"/>
        <w:autoSpaceDE/>
        <w:autoSpaceDN/>
        <w:bidi w:val="0"/>
        <w:adjustRightInd/>
        <w:spacing w:line="240" w:lineRule="auto"/>
        <w:rPr>
          <w:rFonts w:hint="eastAsia" w:ascii="宋体" w:hAnsi="宋体" w:eastAsia="宋体" w:cs="宋体"/>
          <w:b w:val="0"/>
          <w:sz w:val="24"/>
          <w:szCs w:val="24"/>
          <w:highlight w:val="none"/>
        </w:rPr>
      </w:pPr>
    </w:p>
    <w:p w14:paraId="6418CB59">
      <w:pPr>
        <w:pStyle w:val="8"/>
        <w:pageBreakBefore w:val="0"/>
        <w:kinsoku/>
        <w:wordWrap/>
        <w:overflowPunct/>
        <w:topLinePunct w:val="0"/>
        <w:autoSpaceDE/>
        <w:autoSpaceDN/>
        <w:bidi w:val="0"/>
        <w:adjustRightInd/>
        <w:spacing w:line="240" w:lineRule="auto"/>
        <w:rPr>
          <w:rFonts w:hint="eastAsia" w:ascii="宋体" w:hAnsi="宋体" w:eastAsia="宋体" w:cs="宋体"/>
          <w:b w:val="0"/>
          <w:sz w:val="24"/>
          <w:szCs w:val="24"/>
          <w:highlight w:val="none"/>
        </w:rPr>
        <w:sectPr>
          <w:pgSz w:w="11906" w:h="16838"/>
          <w:pgMar w:top="1440" w:right="1800" w:bottom="1440" w:left="1800" w:header="851" w:footer="992" w:gutter="0"/>
          <w:cols w:space="425" w:num="1"/>
          <w:docGrid w:type="lines" w:linePitch="312" w:charSpace="0"/>
        </w:sectPr>
      </w:pPr>
    </w:p>
    <w:p w14:paraId="3CA7DA33">
      <w:pPr>
        <w:pStyle w:val="2"/>
        <w:pageBreakBefore w:val="0"/>
        <w:kinsoku/>
        <w:wordWrap/>
        <w:topLinePunct w:val="0"/>
        <w:autoSpaceDE/>
        <w:autoSpaceDN/>
        <w:bidi w:val="0"/>
        <w:spacing w:line="240" w:lineRule="auto"/>
        <w:rPr>
          <w:rFonts w:hint="eastAsia" w:eastAsia="宋体"/>
          <w:highlight w:val="none"/>
          <w:lang w:val="en-US" w:eastAsia="zh-CN"/>
        </w:rPr>
      </w:pPr>
      <w:bookmarkStart w:id="40" w:name="_Toc15757"/>
      <w:r>
        <w:rPr>
          <w:rFonts w:hint="eastAsia" w:eastAsia="宋体"/>
          <w:highlight w:val="none"/>
          <w:lang w:val="en-US" w:eastAsia="zh-CN"/>
        </w:rPr>
        <w:t>面向多构型小批量焊接的快速编程关键技术研究</w:t>
      </w:r>
      <w:bookmarkEnd w:id="40"/>
    </w:p>
    <w:p w14:paraId="3AC2743B">
      <w:pPr>
        <w:pageBreakBefore w:val="0"/>
        <w:numPr>
          <w:ilvl w:val="0"/>
          <w:numId w:val="81"/>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项目背景</w:t>
      </w:r>
    </w:p>
    <w:p w14:paraId="4097C401">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飞机制造过程使用的复材成型模具、对接定位器、型架工装等各类配套产线装备，往往大量采用焊接工艺实现工装本体制造，但工装零件类型多样，且多为定制化设计，导致焊接任务呈现多构型、小批量特征。传统的编程方式通常依赖操作人员对每一条焊缝路径的手动示教，过程繁琐、耗时长，编程效率低下。面对不同工件构型存在的细微差异，示教路径难以适应工件形变或定位误差，导致焊接精度存在明显波动，严重影响焊接质量的一致性。同时，面对频繁变更的产品结构与焊接工艺参数，传统方式在程序复用性和快速切换方面也表现出较差的灵活性。因此，亟需一种快速编程方法，以满足多构型、小批量焊接场景的需求。</w:t>
      </w:r>
    </w:p>
    <w:p w14:paraId="0086710D">
      <w:pPr>
        <w:pageBreakBefore w:val="0"/>
        <w:numPr>
          <w:ilvl w:val="0"/>
          <w:numId w:val="81"/>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项目归属的重点专业领域</w:t>
      </w:r>
    </w:p>
    <w:p w14:paraId="07C95671">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cs="宋体"/>
          <w:color w:val="000000"/>
          <w:sz w:val="24"/>
          <w:szCs w:val="32"/>
          <w:highlight w:val="none"/>
          <w:lang w:val="en-US" w:eastAsia="zh-CN"/>
        </w:rPr>
        <w:t>工艺装备</w:t>
      </w:r>
    </w:p>
    <w:p w14:paraId="2D3763F3">
      <w:pPr>
        <w:pageBreakBefore w:val="0"/>
        <w:numPr>
          <w:ilvl w:val="0"/>
          <w:numId w:val="81"/>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项目目标及技术指标</w:t>
      </w:r>
    </w:p>
    <w:p w14:paraId="05E0B285">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项目目标： </w:t>
      </w:r>
    </w:p>
    <w:p w14:paraId="369A7BB2">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default" w:ascii="仿宋_GB2312" w:hAnsi="宋体" w:eastAsia="仿宋_GB2312" w:cs="宋体"/>
          <w:b w:val="0"/>
          <w:bCs/>
          <w:sz w:val="24"/>
          <w:szCs w:val="22"/>
          <w:highlight w:val="none"/>
          <w:lang w:val="en-US" w:eastAsia="zh-CN"/>
        </w:rPr>
      </w:pPr>
      <w:r>
        <w:rPr>
          <w:rFonts w:hint="eastAsia" w:ascii="宋体" w:hAnsi="宋体" w:eastAsia="宋体" w:cs="宋体"/>
          <w:color w:val="000000"/>
          <w:sz w:val="24"/>
          <w:szCs w:val="32"/>
          <w:highlight w:val="none"/>
          <w:lang w:val="en-US" w:eastAsia="zh-CN"/>
        </w:rPr>
        <w:t>面向多构型、小批量焊接场景下焊接编程与调试效率低的问题，开展焊接任务图形化编程与调试等关键技术研究。围绕焊接作业过程的多源信息感知，研究多模态感知数据统一化接入机制，为焊接任务的快速建模与高效参数配置提供数据支撑；研究焊接功能组件的标准化封装与管理方法，提升焊接通用子功能的复用效率与配置灵活性；研究面向焊接任务的图形化编程与参数化配置方法，提升焊接流程与工艺参数配置与调整的便捷性。最终构建集数据感知、组件自动封装、图形化低代码组态等功能于一体的焊接程序快速编程工具，实现焊接任务的高效建模与部署。</w:t>
      </w:r>
    </w:p>
    <w:p w14:paraId="1FF72777">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技术指标：</w:t>
      </w:r>
    </w:p>
    <w:p w14:paraId="2454CEE8">
      <w:pPr>
        <w:pageBreakBefore w:val="0"/>
        <w:widowControl/>
        <w:numPr>
          <w:ilvl w:val="0"/>
          <w:numId w:val="8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形成一套焊接程序快速编程工具，具备数据统一接入、组件自动封装和程序图形化低代码组态等快速开发功能。</w:t>
      </w:r>
    </w:p>
    <w:p w14:paraId="75366C2F">
      <w:pPr>
        <w:pageBreakBefore w:val="0"/>
        <w:widowControl/>
        <w:numPr>
          <w:ilvl w:val="0"/>
          <w:numId w:val="8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支持焊缝视觉算法组件的跨语言统一封装与自动导入，兼容C/C++/Python等不少于三种算法开发语言；</w:t>
      </w:r>
    </w:p>
    <w:p w14:paraId="2A2EC023">
      <w:pPr>
        <w:pageBreakBefore w:val="0"/>
        <w:widowControl/>
        <w:numPr>
          <w:ilvl w:val="0"/>
          <w:numId w:val="8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支持不少于3类工业相机的数据接入和同步管理；</w:t>
      </w:r>
    </w:p>
    <w:p w14:paraId="7D25044D">
      <w:pPr>
        <w:pageBreakBefore w:val="0"/>
        <w:widowControl/>
        <w:numPr>
          <w:ilvl w:val="0"/>
          <w:numId w:val="8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内置不少于30个基础图像处理与分析算法组件，形成完整的图像处理功能库，支持焊接场景下图像预处理、特征提取、目标检测、定位与测量等典型视觉任务；</w:t>
      </w:r>
    </w:p>
    <w:p w14:paraId="345552AE">
      <w:pPr>
        <w:pageBreakBefore w:val="0"/>
        <w:widowControl/>
        <w:numPr>
          <w:ilvl w:val="0"/>
          <w:numId w:val="8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技术成熟度达到TRL4级。</w:t>
      </w:r>
    </w:p>
    <w:p w14:paraId="6758A5E4">
      <w:pPr>
        <w:pageBreakBefore w:val="0"/>
        <w:numPr>
          <w:ilvl w:val="0"/>
          <w:numId w:val="81"/>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主要研究内容</w:t>
      </w:r>
    </w:p>
    <w:p w14:paraId="1B886282">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拟解决的关键技术</w:t>
      </w:r>
    </w:p>
    <w:p w14:paraId="46556634">
      <w:pPr>
        <w:pageBreakBefore w:val="0"/>
        <w:widowControl/>
        <w:numPr>
          <w:ilvl w:val="0"/>
          <w:numId w:val="8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多模态感知数据的统一化接入机制</w:t>
      </w:r>
    </w:p>
    <w:p w14:paraId="33C7E61C">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为实现对当前焊接工件的全面感知，研究多模态感知数据的统一化接入机制，支持开关量、模拟量、图像等多源异构数据的标准化接入与组织。研究适用于焊接场景的数据高效表达与存储方法，提升系统在多源数据处理中的资源利用效率，为后续构型建模与路径识别提供高质量的感知数据支撑。</w:t>
      </w:r>
    </w:p>
    <w:p w14:paraId="7B3D8110">
      <w:pPr>
        <w:pageBreakBefore w:val="0"/>
        <w:widowControl/>
        <w:numPr>
          <w:ilvl w:val="0"/>
          <w:numId w:val="83"/>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焊接功能组件自动化封装管理方法</w:t>
      </w:r>
    </w:p>
    <w:p w14:paraId="17D96774">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针对传统编程方式效率低、通用性差等问题，研究面向焊接任务通用子功能的标准化组件封装方法，构建可复用的焊接功能组件库。探索C/C++/Python等混合语言算法的统一化封装机制，支持已有焊接相关算法的自动化组件封装、集成与调用，建立多粒度组件库标准化管理体系，支持组件新增、修改、查找等功能。</w:t>
      </w:r>
    </w:p>
    <w:p w14:paraId="31776970">
      <w:pPr>
        <w:pageBreakBefore w:val="0"/>
        <w:widowControl/>
        <w:numPr>
          <w:ilvl w:val="0"/>
          <w:numId w:val="8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面向焊接任务的图形化编程与参数化配置方法</w:t>
      </w:r>
    </w:p>
    <w:p w14:paraId="0D0BC6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outlineLvl w:val="9"/>
        <w:rPr>
          <w:rFonts w:hint="default" w:ascii="仿宋_GB2312" w:hAnsi="宋体" w:eastAsia="仿宋_GB2312" w:cs="宋体"/>
          <w:b w:val="0"/>
          <w:bCs/>
          <w:sz w:val="24"/>
          <w:szCs w:val="22"/>
          <w:highlight w:val="none"/>
          <w:lang w:val="en-US" w:eastAsia="zh-CN"/>
        </w:rPr>
      </w:pPr>
      <w:r>
        <w:rPr>
          <w:rFonts w:hint="eastAsia" w:ascii="宋体" w:hAnsi="宋体" w:eastAsia="宋体" w:cs="宋体"/>
          <w:color w:val="000000"/>
          <w:sz w:val="24"/>
          <w:szCs w:val="32"/>
          <w:highlight w:val="none"/>
          <w:lang w:val="en-US" w:eastAsia="zh-CN"/>
        </w:rPr>
        <w:t xml:space="preserve">为提升焊接任务编程效率和灵活性，研究图形化低代码组态框架，探索焊接任务流程的建模方式及其执行控制机制，构建统一的参数语义模型与多层级参数配置方式。研究参数可视化配置方法，设计支持参数动态更新的系统调试框架，提高焊接编程与调试的效率与适应性。  </w:t>
      </w:r>
      <w:r>
        <w:rPr>
          <w:rFonts w:hint="eastAsia" w:ascii="仿宋_GB2312" w:hAnsi="宋体" w:eastAsia="仿宋_GB2312" w:cs="宋体"/>
          <w:b w:val="0"/>
          <w:bCs/>
          <w:sz w:val="24"/>
          <w:szCs w:val="22"/>
          <w:highlight w:val="none"/>
          <w:lang w:val="en-US" w:eastAsia="zh-CN"/>
        </w:rPr>
        <w:t xml:space="preserve">                                                                 </w:t>
      </w:r>
    </w:p>
    <w:p w14:paraId="2292F2C0">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研究结果的验证方式</w:t>
      </w:r>
    </w:p>
    <w:p w14:paraId="13E161E1">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搭建实验环境，进行验证测试，主要验证软件开发的效率。</w:t>
      </w:r>
    </w:p>
    <w:p w14:paraId="0B8FD027">
      <w:pPr>
        <w:pageBreakBefore w:val="0"/>
        <w:numPr>
          <w:ilvl w:val="0"/>
          <w:numId w:val="81"/>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预期成果</w:t>
      </w:r>
    </w:p>
    <w:p w14:paraId="003BDA8B">
      <w:pPr>
        <w:pageBreakBefore w:val="0"/>
        <w:widowControl/>
        <w:numPr>
          <w:ilvl w:val="0"/>
          <w:numId w:val="84"/>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面向多构型小批量焊接的快速编程工具一个；</w:t>
      </w:r>
    </w:p>
    <w:p w14:paraId="4A0D13CB">
      <w:pPr>
        <w:pageBreakBefore w:val="0"/>
        <w:widowControl/>
        <w:numPr>
          <w:ilvl w:val="0"/>
          <w:numId w:val="84"/>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基础图像处理与分析算法组件30个以上；</w:t>
      </w:r>
    </w:p>
    <w:p w14:paraId="6E2328D3">
      <w:pPr>
        <w:pageBreakBefore w:val="0"/>
        <w:widowControl/>
        <w:numPr>
          <w:ilvl w:val="0"/>
          <w:numId w:val="84"/>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应用于多构型小批量焊接快速编程技术研究报告1篇；</w:t>
      </w:r>
    </w:p>
    <w:p w14:paraId="52F19276">
      <w:pPr>
        <w:pageBreakBefore w:val="0"/>
        <w:widowControl/>
        <w:numPr>
          <w:ilvl w:val="0"/>
          <w:numId w:val="84"/>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申请相关软著2项；</w:t>
      </w:r>
    </w:p>
    <w:p w14:paraId="5C37A056">
      <w:pPr>
        <w:pageBreakBefore w:val="0"/>
        <w:widowControl/>
        <w:numPr>
          <w:ilvl w:val="0"/>
          <w:numId w:val="84"/>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申请发明专利1项。</w:t>
      </w:r>
    </w:p>
    <w:p w14:paraId="02BC02E3">
      <w:pPr>
        <w:pageBreakBefore w:val="0"/>
        <w:numPr>
          <w:ilvl w:val="0"/>
          <w:numId w:val="81"/>
        </w:numPr>
        <w:kinsoku/>
        <w:wordWrap/>
        <w:topLinePunct w:val="0"/>
        <w:autoSpaceDE/>
        <w:autoSpaceDN/>
        <w:bidi w:val="0"/>
        <w:spacing w:line="240" w:lineRule="auto"/>
        <w:ind w:left="425" w:leftChars="0" w:hanging="425" w:firstLineChars="0"/>
        <w:rPr>
          <w:rFonts w:ascii="仿宋_GB2312" w:hAnsi="宋体" w:eastAsia="仿宋_GB2312"/>
          <w:b/>
          <w:sz w:val="24"/>
          <w:highlight w:val="none"/>
        </w:rPr>
      </w:pPr>
      <w:r>
        <w:rPr>
          <w:rFonts w:hint="eastAsia" w:ascii="黑体" w:hAnsi="黑体" w:eastAsia="黑体" w:cs="黑体"/>
          <w:sz w:val="24"/>
          <w:szCs w:val="22"/>
          <w:highlight w:val="none"/>
        </w:rPr>
        <w:t>建议研究周期和启动时间</w:t>
      </w:r>
    </w:p>
    <w:p w14:paraId="6BCB329C">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cs="宋体"/>
          <w:color w:val="000000"/>
          <w:sz w:val="24"/>
          <w:szCs w:val="32"/>
          <w:highlight w:val="none"/>
          <w:lang w:val="en-US" w:eastAsia="zh-CN"/>
        </w:rPr>
        <w:t>24</w:t>
      </w:r>
      <w:r>
        <w:rPr>
          <w:rFonts w:hint="eastAsia" w:ascii="宋体" w:hAnsi="宋体" w:eastAsia="宋体" w:cs="宋体"/>
          <w:color w:val="000000"/>
          <w:sz w:val="24"/>
          <w:szCs w:val="32"/>
          <w:highlight w:val="none"/>
          <w:lang w:val="en-US" w:eastAsia="zh-CN"/>
        </w:rPr>
        <w:t>个月</w:t>
      </w:r>
    </w:p>
    <w:p w14:paraId="44879DA5">
      <w:pPr>
        <w:pageBreakBefore w:val="0"/>
        <w:numPr>
          <w:ilvl w:val="0"/>
          <w:numId w:val="81"/>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所需研究经费</w:t>
      </w:r>
    </w:p>
    <w:p w14:paraId="2EDD380E">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50万元。</w:t>
      </w:r>
    </w:p>
    <w:p w14:paraId="3411F3F7">
      <w:pPr>
        <w:pageBreakBefore w:val="0"/>
        <w:kinsoku/>
        <w:wordWrap/>
        <w:overflowPunct/>
        <w:topLinePunct w:val="0"/>
        <w:autoSpaceDE/>
        <w:autoSpaceDN/>
        <w:bidi w:val="0"/>
        <w:adjustRightInd/>
        <w:spacing w:line="240" w:lineRule="auto"/>
        <w:ind w:firstLine="480" w:firstLineChars="200"/>
        <w:rPr>
          <w:rFonts w:hint="eastAsia" w:ascii="宋体" w:hAnsi="宋体" w:eastAsia="宋体" w:cs="宋体"/>
          <w:color w:val="000000"/>
          <w:sz w:val="24"/>
          <w:szCs w:val="32"/>
          <w:highlight w:val="none"/>
          <w:lang w:val="en-US" w:eastAsia="zh-CN"/>
        </w:rPr>
      </w:pPr>
    </w:p>
    <w:p w14:paraId="2EB887A3">
      <w:pPr>
        <w:pStyle w:val="8"/>
        <w:pageBreakBefore w:val="0"/>
        <w:kinsoku/>
        <w:wordWrap/>
        <w:overflowPunct/>
        <w:topLinePunct w:val="0"/>
        <w:autoSpaceDE/>
        <w:autoSpaceDN/>
        <w:bidi w:val="0"/>
        <w:adjustRightInd/>
        <w:spacing w:line="240" w:lineRule="auto"/>
        <w:rPr>
          <w:highlight w:val="none"/>
        </w:rPr>
      </w:pPr>
    </w:p>
    <w:p w14:paraId="5636AFA9">
      <w:pPr>
        <w:pStyle w:val="8"/>
        <w:pageBreakBefore w:val="0"/>
        <w:kinsoku/>
        <w:wordWrap/>
        <w:overflowPunct/>
        <w:topLinePunct w:val="0"/>
        <w:autoSpaceDE/>
        <w:autoSpaceDN/>
        <w:bidi w:val="0"/>
        <w:adjustRightInd/>
        <w:spacing w:line="240" w:lineRule="auto"/>
        <w:rPr>
          <w:highlight w:val="none"/>
        </w:rPr>
      </w:pPr>
    </w:p>
    <w:p w14:paraId="38036B8C">
      <w:pPr>
        <w:pStyle w:val="8"/>
        <w:pageBreakBefore w:val="0"/>
        <w:kinsoku/>
        <w:wordWrap/>
        <w:overflowPunct/>
        <w:topLinePunct w:val="0"/>
        <w:autoSpaceDE/>
        <w:autoSpaceDN/>
        <w:bidi w:val="0"/>
        <w:adjustRightInd/>
        <w:spacing w:line="240" w:lineRule="auto"/>
        <w:rPr>
          <w:highlight w:val="none"/>
        </w:rPr>
        <w:sectPr>
          <w:pgSz w:w="11906" w:h="16838"/>
          <w:pgMar w:top="1440" w:right="1800" w:bottom="1440" w:left="1800" w:header="851" w:footer="992" w:gutter="0"/>
          <w:cols w:space="425" w:num="1"/>
          <w:docGrid w:type="lines" w:linePitch="312" w:charSpace="0"/>
        </w:sectPr>
      </w:pPr>
    </w:p>
    <w:p w14:paraId="79E66C5C">
      <w:pPr>
        <w:pStyle w:val="2"/>
        <w:pageBreakBefore w:val="0"/>
        <w:kinsoku/>
        <w:wordWrap/>
        <w:topLinePunct w:val="0"/>
        <w:autoSpaceDE/>
        <w:autoSpaceDN/>
        <w:bidi w:val="0"/>
        <w:spacing w:line="240" w:lineRule="auto"/>
        <w:rPr>
          <w:rFonts w:hint="default" w:eastAsia="宋体"/>
          <w:highlight w:val="none"/>
          <w:lang w:val="en-US" w:eastAsia="zh-CN"/>
        </w:rPr>
      </w:pPr>
      <w:bookmarkStart w:id="41" w:name="_Toc1727"/>
      <w:r>
        <w:rPr>
          <w:rFonts w:hint="eastAsia" w:eastAsia="宋体"/>
          <w:highlight w:val="none"/>
          <w:lang w:val="en-US" w:eastAsia="zh-CN"/>
        </w:rPr>
        <w:t>基于视觉引导下的机械臂低时延位姿矫正技术研究</w:t>
      </w:r>
      <w:bookmarkEnd w:id="41"/>
    </w:p>
    <w:p w14:paraId="57BCE8E9">
      <w:pPr>
        <w:pageBreakBefore w:val="0"/>
        <w:numPr>
          <w:ilvl w:val="0"/>
          <w:numId w:val="85"/>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项目背景</w:t>
      </w:r>
    </w:p>
    <w:p w14:paraId="6855942A">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大飞机装配产线将大量采用自动化装配装备，其中舱内机器人拧紧、制孔等“机器人+末端”的装配装备，在实际运行过程中易因工况环境复杂、理论计算结果与实际工况存在不可预测的位置偏移等因素，进而导致末端执行器定位不准、装配效率提升难、质量不稳定、易损伤产品等问题，需要引入视觉技术快速感知作业对象的空间位置偏移并引导机械臂进行位姿矫正。但现有方案视觉系统和运动控制系统分离，视觉引导时延高，难以及时感知位置偏移。因此，亟需研究一种低时延位姿矫正技术，支持高帧率图像采集和流式并行计算，实现作业对象空间位置的快速感知和机械臂位姿矫正。</w:t>
      </w:r>
    </w:p>
    <w:p w14:paraId="1C52FA62">
      <w:pPr>
        <w:pageBreakBefore w:val="0"/>
        <w:numPr>
          <w:ilvl w:val="0"/>
          <w:numId w:val="85"/>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项目归属的重点专业领域</w:t>
      </w:r>
    </w:p>
    <w:p w14:paraId="5B427F5B">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cs="宋体"/>
          <w:color w:val="000000"/>
          <w:sz w:val="24"/>
          <w:szCs w:val="32"/>
          <w:highlight w:val="none"/>
          <w:lang w:val="en-US" w:eastAsia="zh-CN"/>
        </w:rPr>
        <w:t>工艺装备</w:t>
      </w:r>
    </w:p>
    <w:p w14:paraId="330E7EA2">
      <w:pPr>
        <w:pageBreakBefore w:val="0"/>
        <w:numPr>
          <w:ilvl w:val="0"/>
          <w:numId w:val="85"/>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项目目标及技术指标</w:t>
      </w:r>
    </w:p>
    <w:p w14:paraId="45A5D72E">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 xml:space="preserve">项目目标： </w:t>
      </w:r>
    </w:p>
    <w:p w14:paraId="691E255D">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本项目面向大飞机自动化装配产线装配效率提升的需求，针对现有方案图像采集和处理时延高，导致装配效率不高、质量不稳定、易损伤产品的问题，对复杂场景下作业对象空间位置精确检测技术、异构控制系统程序运行时间评估模型、异构控制系统算法执行效率协同优化技术展开研究，实现自动化装配时作业对象空间位置的实时感知，及时发现作业对象的位置偏移并矫正，从而提升作业质量。</w:t>
      </w:r>
    </w:p>
    <w:p w14:paraId="5E2B0668">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技术指标：</w:t>
      </w:r>
    </w:p>
    <w:p w14:paraId="1078AB38">
      <w:pPr>
        <w:keepNext w:val="0"/>
        <w:keepLines w:val="0"/>
        <w:pageBreakBefore w:val="0"/>
        <w:widowControl w:val="0"/>
        <w:numPr>
          <w:ilvl w:val="0"/>
          <w:numId w:val="86"/>
        </w:numPr>
        <w:kinsoku/>
        <w:wordWrap/>
        <w:overflowPunct/>
        <w:topLinePunct w:val="0"/>
        <w:autoSpaceDE/>
        <w:autoSpaceDN/>
        <w:bidi w:val="0"/>
        <w:adjustRightInd/>
        <w:snapToGrid/>
        <w:spacing w:line="240" w:lineRule="auto"/>
        <w:ind w:left="0" w:leftChars="0" w:hanging="284"/>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支持不少于三种工况的位姿矫正；</w:t>
      </w:r>
    </w:p>
    <w:p w14:paraId="67861E50">
      <w:pPr>
        <w:keepNext w:val="0"/>
        <w:keepLines w:val="0"/>
        <w:pageBreakBefore w:val="0"/>
        <w:widowControl w:val="0"/>
        <w:numPr>
          <w:ilvl w:val="0"/>
          <w:numId w:val="86"/>
        </w:numPr>
        <w:kinsoku/>
        <w:wordWrap/>
        <w:overflowPunct/>
        <w:topLinePunct w:val="0"/>
        <w:autoSpaceDE/>
        <w:autoSpaceDN/>
        <w:bidi w:val="0"/>
        <w:adjustRightInd/>
        <w:snapToGrid/>
        <w:spacing w:line="240" w:lineRule="auto"/>
        <w:ind w:left="0" w:leftChars="0" w:hanging="284"/>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从相机拍摄到机械臂位姿矫正时延 ≤ 50ms；</w:t>
      </w:r>
    </w:p>
    <w:p w14:paraId="398BC7E5">
      <w:pPr>
        <w:keepNext w:val="0"/>
        <w:keepLines w:val="0"/>
        <w:pageBreakBefore w:val="0"/>
        <w:widowControl w:val="0"/>
        <w:numPr>
          <w:ilvl w:val="0"/>
          <w:numId w:val="86"/>
        </w:numPr>
        <w:kinsoku/>
        <w:wordWrap/>
        <w:overflowPunct/>
        <w:topLinePunct w:val="0"/>
        <w:autoSpaceDE/>
        <w:autoSpaceDN/>
        <w:bidi w:val="0"/>
        <w:adjustRightInd/>
        <w:snapToGrid/>
        <w:spacing w:line="240" w:lineRule="auto"/>
        <w:ind w:left="0" w:leftChars="0" w:hanging="284"/>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位姿矫正误差 ≤ 0.1mm；</w:t>
      </w:r>
    </w:p>
    <w:p w14:paraId="7F078665">
      <w:pPr>
        <w:keepNext w:val="0"/>
        <w:keepLines w:val="0"/>
        <w:pageBreakBefore w:val="0"/>
        <w:widowControl w:val="0"/>
        <w:numPr>
          <w:ilvl w:val="0"/>
          <w:numId w:val="86"/>
        </w:numPr>
        <w:kinsoku/>
        <w:wordWrap/>
        <w:overflowPunct/>
        <w:topLinePunct w:val="0"/>
        <w:autoSpaceDE/>
        <w:autoSpaceDN/>
        <w:bidi w:val="0"/>
        <w:adjustRightInd/>
        <w:snapToGrid/>
        <w:spacing w:line="240" w:lineRule="auto"/>
        <w:ind w:left="0" w:leftChars="0" w:hanging="284"/>
        <w:jc w:val="left"/>
        <w:textAlignment w:val="auto"/>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技术成熟度达到TRL4级。</w:t>
      </w:r>
    </w:p>
    <w:p w14:paraId="6CEF5C97">
      <w:pPr>
        <w:pageBreakBefore w:val="0"/>
        <w:numPr>
          <w:ilvl w:val="0"/>
          <w:numId w:val="85"/>
        </w:numPr>
        <w:kinsoku/>
        <w:wordWrap/>
        <w:topLinePunct w:val="0"/>
        <w:autoSpaceDE/>
        <w:autoSpaceDN/>
        <w:bidi w:val="0"/>
        <w:spacing w:line="240" w:lineRule="auto"/>
        <w:ind w:left="425" w:leftChars="0" w:hanging="425" w:firstLineChars="0"/>
        <w:jc w:val="left"/>
        <w:rPr>
          <w:rFonts w:ascii="黑体" w:hAnsi="黑体" w:eastAsia="黑体" w:cs="黑体"/>
          <w:sz w:val="24"/>
          <w:szCs w:val="22"/>
          <w:highlight w:val="none"/>
        </w:rPr>
      </w:pPr>
      <w:r>
        <w:rPr>
          <w:rFonts w:hint="eastAsia" w:ascii="黑体" w:hAnsi="黑体" w:eastAsia="黑体" w:cs="黑体"/>
          <w:sz w:val="24"/>
          <w:szCs w:val="22"/>
          <w:highlight w:val="none"/>
        </w:rPr>
        <w:t>主要研究内容</w:t>
      </w:r>
    </w:p>
    <w:p w14:paraId="6D500091">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lang w:val="en-US" w:eastAsia="zh-CN"/>
        </w:rPr>
      </w:pPr>
      <w:r>
        <w:rPr>
          <w:rFonts w:hint="eastAsia" w:ascii="宋体" w:hAnsi="宋体" w:eastAsia="宋体" w:cs="宋体"/>
          <w:b/>
          <w:sz w:val="24"/>
          <w:highlight w:val="none"/>
        </w:rPr>
        <w:t>拟解决的关键技术</w:t>
      </w:r>
    </w:p>
    <w:p w14:paraId="6AC90CBF">
      <w:pPr>
        <w:keepNext w:val="0"/>
        <w:keepLines w:val="0"/>
        <w:pageBreakBefore w:val="0"/>
        <w:widowControl w:val="0"/>
        <w:numPr>
          <w:ilvl w:val="0"/>
          <w:numId w:val="87"/>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复杂场景下作业对象空间位置精确检测技术</w:t>
      </w:r>
    </w:p>
    <w:p w14:paraId="741A2C0E">
      <w:pPr>
        <w:pageBreakBefore w:val="0"/>
        <w:kinsoku/>
        <w:wordWrap/>
        <w:topLinePunct w:val="0"/>
        <w:autoSpaceDE/>
        <w:autoSpaceDN/>
        <w:bidi w:val="0"/>
        <w:spacing w:line="240" w:lineRule="auto"/>
        <w:ind w:firstLine="480" w:firstLineChars="200"/>
        <w:rPr>
          <w:rFonts w:hint="eastAsia"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研究复杂场景下作业对象分割算法，综合考虑光照变化、背景干扰、遮挡、姿态变更等因素，提升物体识别的准确度；研究多源数据融合的作业对象空间位置检测算法，通过作业路径信息预测作业对象所处的视野范围，再融合跨尺度、多视角的视觉信息，实现作业对象空间位置的精确定位。</w:t>
      </w:r>
    </w:p>
    <w:p w14:paraId="2736F5A8">
      <w:pPr>
        <w:keepNext w:val="0"/>
        <w:keepLines w:val="0"/>
        <w:pageBreakBefore w:val="0"/>
        <w:widowControl w:val="0"/>
        <w:numPr>
          <w:ilvl w:val="0"/>
          <w:numId w:val="87"/>
        </w:numPr>
        <w:kinsoku/>
        <w:wordWrap/>
        <w:overflowPunct/>
        <w:topLinePunct w:val="0"/>
        <w:autoSpaceDE/>
        <w:autoSpaceDN/>
        <w:bidi w:val="0"/>
        <w:adjustRightInd/>
        <w:snapToGrid/>
        <w:spacing w:line="240" w:lineRule="auto"/>
        <w:ind w:left="0" w:leftChars="0" w:hanging="284"/>
        <w:textAlignment w:val="auto"/>
        <w:outlineLvl w:val="9"/>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异构控制系统程序运行时间评估模型</w:t>
      </w:r>
    </w:p>
    <w:p w14:paraId="4DD0D2E4">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rPr>
        <w:t>研究异构计算单元间的数据传输时间评估方法，综合考虑共享总线传输带宽、总线数量、数据传输量、数据传输的竞争关系等因素，建立数据传输竞争仿真模型，快速模拟程序的执行过程，从而计算不同分配方案下程序的各节点间数据传输所需的时间，并据此评估程序的总体运行时间。</w:t>
      </w:r>
    </w:p>
    <w:p w14:paraId="3E2C2EF2">
      <w:pPr>
        <w:keepNext w:val="0"/>
        <w:keepLines w:val="0"/>
        <w:pageBreakBefore w:val="0"/>
        <w:widowControl w:val="0"/>
        <w:numPr>
          <w:ilvl w:val="0"/>
          <w:numId w:val="87"/>
        </w:numPr>
        <w:kinsoku/>
        <w:wordWrap/>
        <w:overflowPunct/>
        <w:topLinePunct w:val="0"/>
        <w:autoSpaceDE/>
        <w:autoSpaceDN/>
        <w:bidi w:val="0"/>
        <w:adjustRightInd/>
        <w:snapToGrid/>
        <w:spacing w:line="240" w:lineRule="auto"/>
        <w:ind w:left="0" w:leftChars="0" w:hanging="284"/>
        <w:textAlignment w:val="auto"/>
        <w:outlineLvl w:val="9"/>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异构控制系统算法执行效率协同优化技术</w:t>
      </w:r>
    </w:p>
    <w:p w14:paraId="7B454849">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研究程序节点优化分配方法，综合考虑计算和数据传输开销，设计调度算法，基于运行时间评估模型优化程序节点在异构控制系统中的分配方案；研究计算传输协同的算法流式加速方法，通过数据流分段阶梯式执行的方式，补偿数据传输带来的延迟；研究算法并行优化方法，分析通过数组扁平化、循环优化、条件分支切分等提升算法执行的并行度，进一步降低计算延迟。</w:t>
      </w:r>
    </w:p>
    <w:p w14:paraId="78A50864">
      <w:pPr>
        <w:pageBreakBefore w:val="0"/>
        <w:kinsoku/>
        <w:wordWrap/>
        <w:topLinePunct w:val="0"/>
        <w:autoSpaceDE/>
        <w:autoSpaceDN/>
        <w:bidi w:val="0"/>
        <w:spacing w:line="240" w:lineRule="auto"/>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研究结果的验证方式</w:t>
      </w:r>
    </w:p>
    <w:p w14:paraId="068898B8">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eastAsia="宋体" w:cs="宋体"/>
          <w:color w:val="000000"/>
          <w:sz w:val="24"/>
          <w:szCs w:val="32"/>
          <w:highlight w:val="none"/>
          <w:lang w:val="en-US" w:eastAsia="zh-CN"/>
        </w:rPr>
        <w:t>搭建包含异构控制系统、工业相机、机器人的实验环境，进行验证测试。</w:t>
      </w:r>
    </w:p>
    <w:p w14:paraId="01B8E776">
      <w:pPr>
        <w:pageBreakBefore w:val="0"/>
        <w:numPr>
          <w:ilvl w:val="0"/>
          <w:numId w:val="85"/>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预期成果</w:t>
      </w:r>
    </w:p>
    <w:p w14:paraId="7CBE365D">
      <w:pPr>
        <w:keepNext w:val="0"/>
        <w:keepLines w:val="0"/>
        <w:pageBreakBefore w:val="0"/>
        <w:widowControl w:val="0"/>
        <w:numPr>
          <w:ilvl w:val="0"/>
          <w:numId w:val="88"/>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支持低时延位姿矫正的实验环境1套；</w:t>
      </w:r>
    </w:p>
    <w:p w14:paraId="20BA1946">
      <w:pPr>
        <w:keepNext w:val="0"/>
        <w:keepLines w:val="0"/>
        <w:pageBreakBefore w:val="0"/>
        <w:widowControl w:val="0"/>
        <w:numPr>
          <w:ilvl w:val="0"/>
          <w:numId w:val="88"/>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程序运行时间评估模型1套；</w:t>
      </w:r>
    </w:p>
    <w:p w14:paraId="342E0511">
      <w:pPr>
        <w:keepNext w:val="0"/>
        <w:keepLines w:val="0"/>
        <w:pageBreakBefore w:val="0"/>
        <w:widowControl w:val="0"/>
        <w:numPr>
          <w:ilvl w:val="0"/>
          <w:numId w:val="88"/>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三种工况位姿矫正算法；</w:t>
      </w:r>
    </w:p>
    <w:p w14:paraId="713821A4">
      <w:pPr>
        <w:keepNext w:val="0"/>
        <w:keepLines w:val="0"/>
        <w:pageBreakBefore w:val="0"/>
        <w:widowControl w:val="0"/>
        <w:numPr>
          <w:ilvl w:val="0"/>
          <w:numId w:val="88"/>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视觉引导下的机械臂低时延位姿矫正技术研究报告1篇；</w:t>
      </w:r>
    </w:p>
    <w:p w14:paraId="276994E8">
      <w:pPr>
        <w:keepNext w:val="0"/>
        <w:keepLines w:val="0"/>
        <w:pageBreakBefore w:val="0"/>
        <w:widowControl w:val="0"/>
        <w:numPr>
          <w:ilvl w:val="0"/>
          <w:numId w:val="88"/>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学术论文2篇；</w:t>
      </w:r>
    </w:p>
    <w:p w14:paraId="05853987">
      <w:pPr>
        <w:keepNext w:val="0"/>
        <w:keepLines w:val="0"/>
        <w:pageBreakBefore w:val="0"/>
        <w:widowControl w:val="0"/>
        <w:numPr>
          <w:ilvl w:val="0"/>
          <w:numId w:val="88"/>
        </w:numPr>
        <w:kinsoku/>
        <w:wordWrap/>
        <w:overflowPunct/>
        <w:topLinePunct w:val="0"/>
        <w:autoSpaceDE/>
        <w:autoSpaceDN/>
        <w:bidi w:val="0"/>
        <w:adjustRightInd/>
        <w:snapToGrid/>
        <w:spacing w:line="240" w:lineRule="auto"/>
        <w:ind w:left="0" w:leftChars="0" w:hanging="284"/>
        <w:textAlignment w:val="auto"/>
        <w:outlineLvl w:val="9"/>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申请发明专利2项。</w:t>
      </w:r>
    </w:p>
    <w:p w14:paraId="0436E88D">
      <w:pPr>
        <w:pageBreakBefore w:val="0"/>
        <w:numPr>
          <w:ilvl w:val="0"/>
          <w:numId w:val="85"/>
        </w:numPr>
        <w:kinsoku/>
        <w:wordWrap/>
        <w:topLinePunct w:val="0"/>
        <w:autoSpaceDE/>
        <w:autoSpaceDN/>
        <w:bidi w:val="0"/>
        <w:spacing w:line="240" w:lineRule="auto"/>
        <w:ind w:left="425" w:leftChars="0" w:hanging="425" w:firstLineChars="0"/>
        <w:rPr>
          <w:rFonts w:ascii="仿宋_GB2312" w:hAnsi="宋体" w:eastAsia="仿宋_GB2312"/>
          <w:b/>
          <w:sz w:val="24"/>
          <w:highlight w:val="none"/>
        </w:rPr>
      </w:pPr>
      <w:r>
        <w:rPr>
          <w:rFonts w:hint="eastAsia" w:ascii="黑体" w:hAnsi="黑体" w:eastAsia="黑体" w:cs="黑体"/>
          <w:sz w:val="24"/>
          <w:szCs w:val="22"/>
          <w:highlight w:val="none"/>
        </w:rPr>
        <w:t>建议研究周期和启动时间</w:t>
      </w:r>
    </w:p>
    <w:p w14:paraId="18EF55C6">
      <w:pPr>
        <w:pageBreakBefore w:val="0"/>
        <w:kinsoku/>
        <w:wordWrap/>
        <w:topLinePunct w:val="0"/>
        <w:autoSpaceDE/>
        <w:autoSpaceDN/>
        <w:bidi w:val="0"/>
        <w:spacing w:line="240" w:lineRule="auto"/>
        <w:ind w:firstLine="480" w:firstLineChars="200"/>
        <w:rPr>
          <w:rFonts w:hint="default" w:ascii="宋体" w:hAnsi="宋体" w:eastAsia="宋体" w:cs="宋体"/>
          <w:color w:val="000000"/>
          <w:sz w:val="24"/>
          <w:szCs w:val="32"/>
          <w:highlight w:val="none"/>
          <w:lang w:val="en-US" w:eastAsia="zh-CN"/>
        </w:rPr>
      </w:pPr>
      <w:r>
        <w:rPr>
          <w:rFonts w:hint="eastAsia" w:ascii="宋体" w:hAnsi="宋体" w:cs="宋体"/>
          <w:color w:val="000000"/>
          <w:sz w:val="24"/>
          <w:szCs w:val="32"/>
          <w:highlight w:val="none"/>
          <w:lang w:val="en-US" w:eastAsia="zh-CN"/>
        </w:rPr>
        <w:t>24</w:t>
      </w:r>
      <w:r>
        <w:rPr>
          <w:rFonts w:hint="eastAsia" w:ascii="宋体" w:hAnsi="宋体" w:eastAsia="宋体" w:cs="宋体"/>
          <w:color w:val="000000"/>
          <w:sz w:val="24"/>
          <w:szCs w:val="32"/>
          <w:highlight w:val="none"/>
          <w:lang w:val="en-US" w:eastAsia="zh-CN"/>
        </w:rPr>
        <w:t>个月</w:t>
      </w:r>
    </w:p>
    <w:p w14:paraId="28461F9F">
      <w:pPr>
        <w:pageBreakBefore w:val="0"/>
        <w:numPr>
          <w:ilvl w:val="0"/>
          <w:numId w:val="85"/>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所需研究经费</w:t>
      </w:r>
    </w:p>
    <w:p w14:paraId="5CA68D78">
      <w:pPr>
        <w:pStyle w:val="8"/>
        <w:pageBreakBefore w:val="0"/>
        <w:kinsoku/>
        <w:wordWrap/>
        <w:overflowPunct/>
        <w:topLinePunct w:val="0"/>
        <w:autoSpaceDE/>
        <w:autoSpaceDN/>
        <w:bidi w:val="0"/>
        <w:adjustRightInd/>
        <w:spacing w:line="240" w:lineRule="auto"/>
        <w:jc w:val="left"/>
        <w:rPr>
          <w:highlight w:val="none"/>
        </w:rPr>
      </w:pPr>
      <w:r>
        <w:rPr>
          <w:rFonts w:hint="eastAsia" w:ascii="宋体" w:hAnsi="宋体" w:eastAsia="宋体" w:cs="宋体"/>
          <w:color w:val="000000"/>
          <w:sz w:val="24"/>
          <w:szCs w:val="32"/>
          <w:highlight w:val="none"/>
          <w:lang w:val="en-US" w:eastAsia="zh-CN"/>
        </w:rPr>
        <w:t>50万元。</w:t>
      </w:r>
    </w:p>
    <w:p w14:paraId="064396F9">
      <w:pPr>
        <w:pStyle w:val="8"/>
        <w:pageBreakBefore w:val="0"/>
        <w:kinsoku/>
        <w:wordWrap/>
        <w:overflowPunct/>
        <w:topLinePunct w:val="0"/>
        <w:autoSpaceDE/>
        <w:autoSpaceDN/>
        <w:bidi w:val="0"/>
        <w:adjustRightInd/>
        <w:spacing w:line="240" w:lineRule="auto"/>
        <w:rPr>
          <w:highlight w:val="none"/>
        </w:rPr>
      </w:pPr>
    </w:p>
    <w:p w14:paraId="35D4E33F">
      <w:pPr>
        <w:pStyle w:val="8"/>
        <w:pageBreakBefore w:val="0"/>
        <w:kinsoku/>
        <w:wordWrap/>
        <w:overflowPunct/>
        <w:topLinePunct w:val="0"/>
        <w:autoSpaceDE/>
        <w:autoSpaceDN/>
        <w:bidi w:val="0"/>
        <w:adjustRightInd/>
        <w:spacing w:line="240" w:lineRule="auto"/>
        <w:rPr>
          <w:highlight w:val="none"/>
        </w:rPr>
        <w:sectPr>
          <w:pgSz w:w="11906" w:h="16838"/>
          <w:pgMar w:top="1440" w:right="1800" w:bottom="1440" w:left="1800" w:header="851" w:footer="992" w:gutter="0"/>
          <w:cols w:space="425" w:num="1"/>
          <w:docGrid w:type="lines" w:linePitch="312" w:charSpace="0"/>
        </w:sectPr>
      </w:pPr>
    </w:p>
    <w:p w14:paraId="71434F3E">
      <w:pPr>
        <w:pStyle w:val="2"/>
        <w:pageBreakBefore w:val="0"/>
        <w:kinsoku/>
        <w:wordWrap/>
        <w:topLinePunct w:val="0"/>
        <w:autoSpaceDE/>
        <w:autoSpaceDN/>
        <w:bidi w:val="0"/>
        <w:spacing w:line="240" w:lineRule="auto"/>
        <w:rPr>
          <w:rFonts w:hint="eastAsia" w:eastAsia="宋体"/>
          <w:highlight w:val="none"/>
        </w:rPr>
      </w:pPr>
      <w:bookmarkStart w:id="42" w:name="_Toc14662"/>
      <w:bookmarkStart w:id="43" w:name="_Toc27948"/>
      <w:bookmarkStart w:id="44" w:name="_Toc2893"/>
      <w:bookmarkStart w:id="45" w:name="_Toc5566"/>
      <w:bookmarkStart w:id="46" w:name="_Toc18247"/>
      <w:r>
        <w:rPr>
          <w:rFonts w:hint="eastAsia" w:eastAsia="宋体"/>
          <w:highlight w:val="none"/>
        </w:rPr>
        <w:t>ARINC825多分支环形总线网络故障检测与定位装备研制</w:t>
      </w:r>
      <w:bookmarkEnd w:id="42"/>
      <w:bookmarkEnd w:id="43"/>
      <w:bookmarkEnd w:id="44"/>
    </w:p>
    <w:p w14:paraId="2349B6CF">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项目背景</w:t>
      </w:r>
    </w:p>
    <w:p w14:paraId="6A75A8A0">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飞机驾驶舱调光板通过ARINC825总线控制调节驾驶舱仪表和面板背光亮度，该总线以屏蔽双绞线作为物理链路，采用典型的环状网络构型。调光板、仪表、面板等组件均通过焊接死接头连入总线网络，进而形成多分支环形网络结构。</w:t>
      </w:r>
    </w:p>
    <w:p w14:paraId="171EA12D">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国产大飞机总装、维修阶段频繁出现调光板ARINC825总线网络功能失效问题，主要体现为线路故障、节点故障、连接器故障等形式。由于该总线网络整体呈环形结构，任意位置发生故障均会导致总线网络上的全部组件功能失效，维修阶段不得不拆卸驾驶舱仪表直接对ARINC825总线网络进行排故作业。更为困难的是，由于无法通过故障代码定位故障来源，排故作业必须大范围甚至全部拆除驾驶舱仪表，随后对总线网络上所有的线路、节点、连接器进行逐一排查。上述排故过程极为繁琐，平均排故时间至少3天，且复杂的拆卸过程极易造成其他新增故障出现，严重影响民机总装、维修效率，给飞机总装、维修排故工作造成了极大困难。因此亟待开展ARINC825总线网络故障检测与定位方法研究，致力于在不完全拆卸驾驶舱仪表的情况下通过线路单端测试实现故障位置的准确定位，进而指导精准维修作业。</w:t>
      </w:r>
    </w:p>
    <w:p w14:paraId="2F8343CA">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1543F7C0">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系统工艺</w:t>
      </w:r>
    </w:p>
    <w:p w14:paraId="422A17B2">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0F060B4A">
      <w:pPr>
        <w:pageBreakBefore w:val="0"/>
        <w:kinsoku/>
        <w:wordWrap/>
        <w:topLinePunct w:val="0"/>
        <w:autoSpaceDE/>
        <w:autoSpaceDN/>
        <w:bidi w:val="0"/>
        <w:spacing w:line="24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b/>
          <w:sz w:val="24"/>
          <w:szCs w:val="24"/>
          <w:highlight w:val="none"/>
        </w:rPr>
        <w:t>项目目标：</w:t>
      </w:r>
      <w:r>
        <w:rPr>
          <w:rFonts w:hint="eastAsia" w:ascii="宋体" w:hAnsi="宋体" w:eastAsia="宋体" w:cs="宋体"/>
          <w:color w:val="FF0000"/>
          <w:sz w:val="24"/>
          <w:szCs w:val="24"/>
          <w:highlight w:val="none"/>
        </w:rPr>
        <w:t xml:space="preserve"> </w:t>
      </w:r>
    </w:p>
    <w:p w14:paraId="4937BC0D">
      <w:pPr>
        <w:pageBreakBefore w:val="0"/>
        <w:kinsoku/>
        <w:wordWrap/>
        <w:topLinePunct w:val="0"/>
        <w:autoSpaceDE/>
        <w:autoSpaceDN/>
        <w:bidi w:val="0"/>
        <w:spacing w:line="24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飞机驾驶舱调光板ARINC825总线网络为对象，深入研究线路、节点、连接器等差异化故障形式，挖掘能够量化且具备充分表征能力的可解释性故障特征，并据此设计采用单端测试模式的总线故障检测与定位方法，研制便捷式现场测试装备，在无须完全拆卸驾驶舱仪表的情况下实现总线故障检测与精准定位，从而显著提高总装、维修效率。</w:t>
      </w:r>
    </w:p>
    <w:p w14:paraId="62FC047A">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4216D2EE">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具备故障检测与定位功能；</w:t>
      </w:r>
    </w:p>
    <w:p w14:paraId="609C3840">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检测有效距离0-20米；</w:t>
      </w:r>
    </w:p>
    <w:p w14:paraId="53CB5EC3">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[0米,10米]检测区间的故障定位误差：±30cm；</w:t>
      </w:r>
    </w:p>
    <w:p w14:paraId="6305816B">
      <w:pPr>
        <w:pageBreakBefore w:val="0"/>
        <w:kinsoku/>
        <w:wordWrap/>
        <w:topLinePunct w:val="0"/>
        <w:autoSpaceDE/>
        <w:autoSpaceDN/>
        <w:bidi w:val="0"/>
        <w:spacing w:line="240"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[10米,20米]检测区间的故障定位误差：±3%；</w:t>
      </w:r>
    </w:p>
    <w:p w14:paraId="542B8695">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检测设备具备电池供电功能，连续工作时长不少于2小时；</w:t>
      </w:r>
    </w:p>
    <w:p w14:paraId="6AA3B7DE">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检测设备具备基于触摸屏的人机交互功能；</w:t>
      </w:r>
    </w:p>
    <w:p w14:paraId="562CBB37">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检测设备重量≤10公斤；</w:t>
      </w:r>
    </w:p>
    <w:p w14:paraId="1C17FDDD">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检测设备具备计量校准功能；</w:t>
      </w:r>
    </w:p>
    <w:p w14:paraId="7FCC6FAD">
      <w:pPr>
        <w:pageBreakBefore w:val="0"/>
        <w:numPr>
          <w:ilvl w:val="0"/>
          <w:numId w:val="9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技术成熟度提升至TRL5级。</w:t>
      </w:r>
    </w:p>
    <w:p w14:paraId="1F3C79E6">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290040EA">
      <w:pPr>
        <w:pageBreakBefore w:val="0"/>
        <w:numPr>
          <w:ilvl w:val="0"/>
          <w:numId w:val="0"/>
        </w:numPr>
        <w:kinsoku/>
        <w:wordWrap/>
        <w:topLinePunct w:val="0"/>
        <w:autoSpaceDE/>
        <w:autoSpaceDN/>
        <w:bidi w:val="0"/>
        <w:spacing w:line="240" w:lineRule="auto"/>
        <w:ind w:left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拟解决的关键技术</w:t>
      </w:r>
    </w:p>
    <w:p w14:paraId="091B404A">
      <w:pPr>
        <w:pageBreakBefore w:val="0"/>
        <w:numPr>
          <w:ilvl w:val="0"/>
          <w:numId w:val="9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多分支环形网络构型下的总线故障特征挖掘</w:t>
      </w:r>
    </w:p>
    <w:p w14:paraId="3240E5C9">
      <w:pPr>
        <w:pStyle w:val="16"/>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outlineLvl w:val="9"/>
        <w:rPr>
          <w:rFonts w:hint="eastAsia" w:ascii="宋体" w:hAnsi="宋体" w:eastAsia="宋体" w:cs="宋体"/>
          <w:b/>
          <w:sz w:val="24"/>
          <w:szCs w:val="24"/>
          <w:highlight w:val="none"/>
        </w:rPr>
      </w:pPr>
      <w:r>
        <w:rPr>
          <w:rFonts w:hint="eastAsia" w:ascii="宋体" w:hAnsi="宋体" w:eastAsia="宋体" w:cs="宋体"/>
          <w:sz w:val="24"/>
          <w:szCs w:val="24"/>
          <w:highlight w:val="none"/>
        </w:rPr>
        <w:t>以飞机驾驶舱调光板ARINC825总线为对象，深入研究多分支环形网络构型下线路、节点、连接器等差异化故障的表现形式，从电气特性角度挖掘能够量化且具备充分表征能力的可解释性故障特征。</w:t>
      </w:r>
    </w:p>
    <w:p w14:paraId="0DB0BA34">
      <w:pPr>
        <w:pageBreakBefore w:val="0"/>
        <w:numPr>
          <w:ilvl w:val="0"/>
          <w:numId w:val="9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满足单端测试需求的故障特征检测方法设计</w:t>
      </w:r>
    </w:p>
    <w:p w14:paraId="5C65E4F4">
      <w:pPr>
        <w:pStyle w:val="16"/>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研究能够充分激发ARINC825总线故障电气特征的单端测试方法，结合检测距离与定位精度要求合理设计总线外部激励测试信号，充分考虑激励测试信号在环形网络中的双向传播特性制定反射信号采集方案。</w:t>
      </w:r>
    </w:p>
    <w:p w14:paraId="6569ADF2">
      <w:pPr>
        <w:pageBreakBefore w:val="0"/>
        <w:numPr>
          <w:ilvl w:val="0"/>
          <w:numId w:val="9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克服多径传播及多重反射效应的故障定位技术开发</w:t>
      </w:r>
    </w:p>
    <w:p w14:paraId="4600ED0A">
      <w:pPr>
        <w:pStyle w:val="16"/>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研究总线故障特征在多分支环形网络构型下的多径传播规律，及故障特征在任意路径下多重反射所导致的信号混叠效应，开发基于多径传播推演与多重反射解耦的总线故障定位技术。</w:t>
      </w:r>
    </w:p>
    <w:p w14:paraId="445DF040">
      <w:pPr>
        <w:pageBreakBefore w:val="0"/>
        <w:numPr>
          <w:ilvl w:val="0"/>
          <w:numId w:val="9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便捷式ARINC825总线网络故障检测与定位装备研制</w:t>
      </w:r>
    </w:p>
    <w:p w14:paraId="670279CF">
      <w:pPr>
        <w:pStyle w:val="16"/>
        <w:keepNext w:val="0"/>
        <w:keepLines w:val="0"/>
        <w:pageBreakBefore w:val="0"/>
        <w:widowControl w:val="0"/>
        <w:kinsoku/>
        <w:wordWrap/>
        <w:overflowPunct/>
        <w:topLinePunct w:val="0"/>
        <w:autoSpaceDE/>
        <w:autoSpaceDN/>
        <w:bidi w:val="0"/>
        <w:adjustRightInd/>
        <w:snapToGrid/>
        <w:spacing w:line="240" w:lineRule="auto"/>
        <w:ind w:left="480" w:leftChars="200"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依据现场测试需求开发信息明确、操作简洁的图形化交互界面，针对总线端部连接器存在的型号差异性设计可自由匹配的快速接插方式，充分考虑机上空间布局设计小型化、便捷式产品封装。制作计量标准件，设计计量检定及设备校准方法。</w:t>
      </w:r>
    </w:p>
    <w:p w14:paraId="4E2E30E8">
      <w:pPr>
        <w:pageBreakBefore w:val="0"/>
        <w:numPr>
          <w:ilvl w:val="0"/>
          <w:numId w:val="0"/>
        </w:numPr>
        <w:kinsoku/>
        <w:wordWrap/>
        <w:topLinePunct w:val="0"/>
        <w:autoSpaceDE/>
        <w:autoSpaceDN/>
        <w:bidi w:val="0"/>
        <w:spacing w:line="240" w:lineRule="auto"/>
        <w:ind w:left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p w14:paraId="04A1FFBE">
      <w:pPr>
        <w:pageBreakBefore w:val="0"/>
        <w:numPr>
          <w:ilvl w:val="0"/>
          <w:numId w:val="9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现场或高逼真度场景下的应用验证；</w:t>
      </w:r>
    </w:p>
    <w:p w14:paraId="566CA70D">
      <w:pPr>
        <w:pageBreakBefore w:val="0"/>
        <w:numPr>
          <w:ilvl w:val="0"/>
          <w:numId w:val="92"/>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第三方计量。</w:t>
      </w:r>
    </w:p>
    <w:p w14:paraId="32269A36">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2395F7BC">
      <w:pPr>
        <w:pageBreakBefore w:val="0"/>
        <w:widowControl/>
        <w:numPr>
          <w:ilvl w:val="0"/>
          <w:numId w:val="9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ARINC825总线网络故障检测与定位装备一套； </w:t>
      </w:r>
    </w:p>
    <w:p w14:paraId="2C0A1E27">
      <w:pPr>
        <w:pageBreakBefore w:val="0"/>
        <w:widowControl/>
        <w:numPr>
          <w:ilvl w:val="0"/>
          <w:numId w:val="9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项目研究报告一套；</w:t>
      </w:r>
    </w:p>
    <w:p w14:paraId="5A4B8AF7">
      <w:pPr>
        <w:pageBreakBefore w:val="0"/>
        <w:widowControl/>
        <w:numPr>
          <w:ilvl w:val="0"/>
          <w:numId w:val="9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测试验证报告一套；</w:t>
      </w:r>
    </w:p>
    <w:p w14:paraId="6D1107E5">
      <w:pPr>
        <w:pageBreakBefore w:val="0"/>
        <w:widowControl/>
        <w:numPr>
          <w:ilvl w:val="0"/>
          <w:numId w:val="9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发表高水平论文1-2篇；</w:t>
      </w:r>
    </w:p>
    <w:p w14:paraId="17E01ED8">
      <w:pPr>
        <w:pageBreakBefore w:val="0"/>
        <w:widowControl/>
        <w:numPr>
          <w:ilvl w:val="0"/>
          <w:numId w:val="93"/>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申请国家发明专利1项。</w:t>
      </w:r>
    </w:p>
    <w:p w14:paraId="5AC7D02B">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建议研究周期和启动时间</w:t>
      </w:r>
    </w:p>
    <w:p w14:paraId="778C459F">
      <w:pPr>
        <w:keepNext w:val="0"/>
        <w:keepLines w:val="0"/>
        <w:pageBreakBefore w:val="0"/>
        <w:widowControl w:val="0"/>
        <w:kinsoku/>
        <w:wordWrap/>
        <w:overflowPunct/>
        <w:topLinePunct w:val="0"/>
        <w:autoSpaceDE/>
        <w:autoSpaceDN/>
        <w:bidi w:val="0"/>
        <w:adjustRightInd/>
        <w:snapToGrid/>
        <w:spacing w:line="240" w:lineRule="auto"/>
        <w:ind w:left="425"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24个</w:t>
      </w:r>
      <w:r>
        <w:rPr>
          <w:rFonts w:hint="eastAsia" w:ascii="宋体" w:hAnsi="宋体" w:eastAsia="宋体" w:cs="宋体"/>
          <w:sz w:val="24"/>
          <w:szCs w:val="24"/>
          <w:highlight w:val="none"/>
        </w:rPr>
        <w:t>月。</w:t>
      </w:r>
    </w:p>
    <w:p w14:paraId="45448C10">
      <w:pPr>
        <w:pageBreakBefore w:val="0"/>
        <w:numPr>
          <w:ilvl w:val="0"/>
          <w:numId w:val="89"/>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所需研究经费</w:t>
      </w:r>
    </w:p>
    <w:p w14:paraId="20FF7600">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50万元。</w:t>
      </w:r>
    </w:p>
    <w:p w14:paraId="5FE36A7A">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pPr>
    </w:p>
    <w:p w14:paraId="7FEE94A8">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rPr>
        <w:sectPr>
          <w:pgSz w:w="11906" w:h="16838"/>
          <w:pgMar w:top="1440" w:right="1800" w:bottom="1440" w:left="1800" w:header="851" w:footer="992" w:gutter="0"/>
          <w:cols w:space="425" w:num="1"/>
          <w:docGrid w:type="lines" w:linePitch="312" w:charSpace="0"/>
        </w:sectPr>
      </w:pPr>
    </w:p>
    <w:p w14:paraId="68A2048C">
      <w:pPr>
        <w:pStyle w:val="2"/>
        <w:pageBreakBefore w:val="0"/>
        <w:kinsoku/>
        <w:wordWrap/>
        <w:topLinePunct w:val="0"/>
        <w:autoSpaceDE/>
        <w:autoSpaceDN/>
        <w:bidi w:val="0"/>
        <w:spacing w:line="240" w:lineRule="auto"/>
        <w:ind w:firstLine="0" w:firstLineChars="0"/>
        <w:jc w:val="center"/>
        <w:rPr>
          <w:rFonts w:hint="eastAsia" w:eastAsia="宋体"/>
          <w:highlight w:val="none"/>
        </w:rPr>
      </w:pPr>
      <w:bookmarkStart w:id="47" w:name="_Toc3234"/>
      <w:r>
        <w:rPr>
          <w:rFonts w:hint="eastAsia" w:eastAsia="宋体"/>
          <w:highlight w:val="none"/>
        </w:rPr>
        <w:t>面向飞机总装的机载系统多模态故障智能诊断技术研究</w:t>
      </w:r>
      <w:bookmarkEnd w:id="45"/>
      <w:bookmarkEnd w:id="46"/>
      <w:bookmarkEnd w:id="47"/>
    </w:p>
    <w:p w14:paraId="7C292AF6">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rPr>
        <w:t>项目背景</w:t>
      </w:r>
    </w:p>
    <w:p w14:paraId="7E7A990E">
      <w:pPr>
        <w:pageBreakBefore w:val="0"/>
        <w:kinsoku/>
        <w:wordWrap/>
        <w:topLinePunct w:val="0"/>
        <w:autoSpaceDE/>
        <w:autoSpaceDN/>
        <w:bidi w:val="0"/>
        <w:spacing w:line="240" w:lineRule="auto"/>
        <w:ind w:left="360" w:firstLine="480" w:firstLineChars="20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随着机载系统复杂性和集成性的提升，其关键组件的状态监控与故障诊断面临严峻挑战。传统排故方法多依赖于专家经验以及EICAS、CMS和关联FIM等内容进行诊断，难以应对总装阶段飞机偶发故障呈现机理不明、历史样本极少、模式多样化等特点。同时，由于总装飞机构型的不断填充，在进入测试工位时构型并不完全一致，故障飞机因其构型不完整经常导致航电系统显示不同“虚警”，极大地增加了真实故障诊断的难度。因此，亟需融合总装阶段飞机各类信号、告警信息和实时生产进度的多模态数据，研究总装阶段机载系统多模态故障智能诊断技术，以应对总装复杂环境下故障诊断准确性、实时性等需求。</w:t>
      </w:r>
    </w:p>
    <w:p w14:paraId="79C2E8B3">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项目归属的重点专业领域</w:t>
      </w:r>
    </w:p>
    <w:p w14:paraId="602C97D1">
      <w:pPr>
        <w:pageBreakBefore w:val="0"/>
        <w:kinsoku/>
        <w:wordWrap/>
        <w:topLinePunct w:val="0"/>
        <w:autoSpaceDE/>
        <w:autoSpaceDN/>
        <w:bidi w:val="0"/>
        <w:spacing w:line="240" w:lineRule="auto"/>
        <w:ind w:firstLine="480" w:firstLineChars="200"/>
        <w:rPr>
          <w:rFonts w:hint="eastAsia" w:ascii="宋体" w:hAnsi="宋体" w:eastAsia="宋体" w:cs="宋体"/>
          <w:b/>
          <w:i w:val="0"/>
          <w:iCs w:val="0"/>
          <w:sz w:val="24"/>
          <w:szCs w:val="24"/>
          <w:highlight w:val="none"/>
          <w:lang w:eastAsia="zh-CN"/>
        </w:rPr>
      </w:pPr>
      <w:r>
        <w:rPr>
          <w:rFonts w:hint="eastAsia" w:ascii="宋体" w:hAnsi="宋体" w:eastAsia="宋体" w:cs="宋体"/>
          <w:b w:val="0"/>
          <w:bCs/>
          <w:i w:val="0"/>
          <w:iCs w:val="0"/>
          <w:sz w:val="24"/>
          <w:szCs w:val="24"/>
          <w:highlight w:val="none"/>
          <w:lang w:eastAsia="zh-CN"/>
        </w:rPr>
        <w:t>系统工艺技术领域（</w:t>
      </w:r>
      <w:r>
        <w:rPr>
          <w:rFonts w:hint="eastAsia" w:ascii="宋体" w:hAnsi="宋体" w:eastAsia="宋体" w:cs="宋体"/>
          <w:b w:val="0"/>
          <w:bCs/>
          <w:i w:val="0"/>
          <w:iCs w:val="0"/>
          <w:sz w:val="24"/>
          <w:szCs w:val="24"/>
          <w:highlight w:val="none"/>
          <w:lang w:val="en-US" w:eastAsia="zh-CN"/>
        </w:rPr>
        <w:t>集成测试技术领域</w:t>
      </w:r>
      <w:r>
        <w:rPr>
          <w:rFonts w:hint="eastAsia" w:ascii="宋体" w:hAnsi="宋体" w:eastAsia="宋体" w:cs="宋体"/>
          <w:b w:val="0"/>
          <w:bCs/>
          <w:i w:val="0"/>
          <w:iCs w:val="0"/>
          <w:sz w:val="24"/>
          <w:szCs w:val="24"/>
          <w:highlight w:val="none"/>
          <w:lang w:eastAsia="zh-CN"/>
        </w:rPr>
        <w:t>）</w:t>
      </w:r>
    </w:p>
    <w:p w14:paraId="269411C3">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项目目标及技术指标</w:t>
      </w:r>
    </w:p>
    <w:p w14:paraId="0E8034C6">
      <w:pPr>
        <w:pageBreakBefore w:val="0"/>
        <w:kinsoku/>
        <w:wordWrap/>
        <w:topLinePunct w:val="0"/>
        <w:autoSpaceDE/>
        <w:autoSpaceDN/>
        <w:bidi w:val="0"/>
        <w:spacing w:line="240" w:lineRule="auto"/>
        <w:ind w:firstLine="480" w:firstLineChars="200"/>
        <w:rPr>
          <w:rFonts w:hint="eastAsia" w:ascii="宋体" w:hAnsi="宋体" w:eastAsia="宋体" w:cs="宋体"/>
          <w:color w:val="FF0000"/>
          <w:sz w:val="24"/>
          <w:szCs w:val="24"/>
          <w:highlight w:val="none"/>
        </w:rPr>
      </w:pPr>
      <w:r>
        <w:rPr>
          <w:rFonts w:hint="eastAsia" w:ascii="宋体" w:hAnsi="宋体" w:eastAsia="宋体" w:cs="宋体"/>
          <w:b/>
          <w:sz w:val="24"/>
          <w:szCs w:val="24"/>
          <w:highlight w:val="none"/>
        </w:rPr>
        <w:t>项目目标：</w:t>
      </w:r>
      <w:r>
        <w:rPr>
          <w:rFonts w:hint="eastAsia" w:ascii="宋体" w:hAnsi="宋体" w:eastAsia="宋体" w:cs="宋体"/>
          <w:color w:val="FF0000"/>
          <w:sz w:val="24"/>
          <w:szCs w:val="24"/>
          <w:highlight w:val="none"/>
        </w:rPr>
        <w:t xml:space="preserve"> </w:t>
      </w:r>
    </w:p>
    <w:p w14:paraId="5ED93A7F">
      <w:pPr>
        <w:pageBreakBefore w:val="0"/>
        <w:kinsoku/>
        <w:wordWrap/>
        <w:topLinePunct w:val="0"/>
        <w:autoSpaceDE/>
        <w:autoSpaceDN/>
        <w:bidi w:val="0"/>
        <w:spacing w:line="240" w:lineRule="auto"/>
        <w:ind w:left="360" w:firstLine="480" w:firstLineChars="20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聚焦某型号国产飞机总装阶段机载系统多模态数据融合不足、偶发故障机理不明、诊断实时性差等问题，以C909飞机机载系统（涵盖指示记录、中央维护、飞控、刹车、导航等核心子系统）为对象，融合总装阶段飞机实时生产的多模态数据，构建基于数据挖掘的系统多模态状态识别方法体系，探索面向总装阶段多深度学习模型融合的系统故障诊断技术，揭示机载系统故障跨层级传递机理，解决总装阶段机载系统“虚警”率高、故障检出率低、故障诊断效率低的问题。</w:t>
      </w:r>
    </w:p>
    <w:p w14:paraId="3871678F">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31B8B8CF">
      <w:pPr>
        <w:pageBreakBefore w:val="0"/>
        <w:numPr>
          <w:ilvl w:val="0"/>
          <w:numId w:val="95"/>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数据规模：采集覆盖≥5种典型故障模式的海量数据（≥3万条）</w:t>
      </w:r>
      <w:r>
        <w:rPr>
          <w:rFonts w:hint="eastAsia" w:ascii="宋体" w:hAnsi="宋体" w:cs="宋体"/>
          <w:b w:val="0"/>
          <w:bCs/>
          <w:i w:val="0"/>
          <w:iCs w:val="0"/>
          <w:sz w:val="24"/>
          <w:szCs w:val="24"/>
          <w:highlight w:val="none"/>
          <w:lang w:val="en-US" w:eastAsia="zh-CN"/>
        </w:rPr>
        <w:t>，如刹车系统降级、飞控不派遣、总线通道故障、发动机需要维护和空速不一致等典型故障模式</w:t>
      </w:r>
      <w:r>
        <w:rPr>
          <w:rFonts w:hint="eastAsia" w:ascii="宋体" w:hAnsi="宋体" w:eastAsia="宋体" w:cs="宋体"/>
          <w:b w:val="0"/>
          <w:bCs/>
          <w:i w:val="0"/>
          <w:iCs w:val="0"/>
          <w:sz w:val="24"/>
          <w:szCs w:val="24"/>
          <w:highlight w:val="none"/>
          <w:lang w:val="en-US" w:eastAsia="zh-CN"/>
        </w:rPr>
        <w:t>；</w:t>
      </w:r>
    </w:p>
    <w:p w14:paraId="48D04E3E">
      <w:pPr>
        <w:pageBreakBefore w:val="0"/>
        <w:numPr>
          <w:ilvl w:val="0"/>
          <w:numId w:val="95"/>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故障检测准确性：故障检测率a/b×100%≥95%（a为模拟失效运行故障模式数，b为诊断成功数），且虚警率降低超过20%；</w:t>
      </w:r>
    </w:p>
    <w:p w14:paraId="1F9FAF11">
      <w:pPr>
        <w:pageBreakBefore w:val="0"/>
        <w:numPr>
          <w:ilvl w:val="0"/>
          <w:numId w:val="95"/>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故障诊断效率：面向总装的机上功能试验故障时故障诊断效率较目前依据故障隔离手册提升40%以上；</w:t>
      </w:r>
    </w:p>
    <w:p w14:paraId="4938C269">
      <w:pPr>
        <w:pageBreakBefore w:val="0"/>
        <w:numPr>
          <w:ilvl w:val="0"/>
          <w:numId w:val="95"/>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技术成熟度提升至TRL</w:t>
      </w:r>
      <w:r>
        <w:rPr>
          <w:rFonts w:hint="eastAsia" w:ascii="宋体" w:hAnsi="宋体" w:cs="宋体"/>
          <w:b w:val="0"/>
          <w:bCs/>
          <w:i w:val="0"/>
          <w:iCs w:val="0"/>
          <w:sz w:val="24"/>
          <w:szCs w:val="24"/>
          <w:highlight w:val="none"/>
          <w:lang w:val="en-US" w:eastAsia="zh-CN"/>
        </w:rPr>
        <w:t>6</w:t>
      </w:r>
      <w:r>
        <w:rPr>
          <w:rFonts w:hint="eastAsia" w:ascii="宋体" w:hAnsi="宋体" w:eastAsia="宋体" w:cs="宋体"/>
          <w:b w:val="0"/>
          <w:bCs/>
          <w:i w:val="0"/>
          <w:iCs w:val="0"/>
          <w:sz w:val="24"/>
          <w:szCs w:val="24"/>
          <w:highlight w:val="none"/>
          <w:lang w:val="en-US" w:eastAsia="zh-CN"/>
        </w:rPr>
        <w:t>级。</w:t>
      </w:r>
    </w:p>
    <w:p w14:paraId="1E9F0595">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主要研究内容</w:t>
      </w:r>
    </w:p>
    <w:p w14:paraId="279381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拟解决的关键技术</w:t>
      </w:r>
    </w:p>
    <w:p w14:paraId="3C42D174">
      <w:pPr>
        <w:pageBreakBefore w:val="0"/>
        <w:numPr>
          <w:ilvl w:val="0"/>
          <w:numId w:val="96"/>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总装阶段机载系统特征参数提取及其多源异构数据融合技术</w:t>
      </w:r>
    </w:p>
    <w:p w14:paraId="5676BD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b/>
          <w:sz w:val="24"/>
          <w:szCs w:val="24"/>
          <w:highlight w:val="none"/>
          <w:lang w:eastAsia="zh-CN"/>
        </w:rPr>
      </w:pPr>
      <w:r>
        <w:rPr>
          <w:rFonts w:hint="eastAsia" w:ascii="宋体" w:hAnsi="宋体" w:eastAsia="宋体" w:cs="宋体"/>
          <w:b w:val="0"/>
          <w:bCs/>
          <w:sz w:val="24"/>
          <w:szCs w:val="24"/>
          <w:highlight w:val="none"/>
          <w:lang w:eastAsia="zh-CN"/>
        </w:rPr>
        <w:t>通过动态时间规整（DTW）与小波包分解的时序-频域联合表征技术，</w:t>
      </w:r>
      <w:r>
        <w:rPr>
          <w:rFonts w:hint="eastAsia" w:ascii="宋体" w:hAnsi="宋体" w:eastAsia="宋体" w:cs="宋体"/>
          <w:b w:val="0"/>
          <w:bCs/>
          <w:sz w:val="24"/>
          <w:szCs w:val="24"/>
          <w:highlight w:val="none"/>
          <w:lang w:val="en-US" w:eastAsia="zh-CN"/>
        </w:rPr>
        <w:t>以及条件生成对抗网络（CGAN），开展跨组件参数关联分析、含总装生产数据的多源数据同步采集与标注、小样本故障数据生成与清洗、以及多模态数据融合建模等研究，支撑总装阶段机载系统故障的精准诊断。</w:t>
      </w:r>
    </w:p>
    <w:p w14:paraId="19424AA5">
      <w:pPr>
        <w:pageBreakBefore w:val="0"/>
        <w:numPr>
          <w:ilvl w:val="0"/>
          <w:numId w:val="96"/>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基于聚类降维的机载系统异常状态监测技术</w:t>
      </w:r>
    </w:p>
    <w:p w14:paraId="7FEE2DA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针对总装阶段航电系统高维数据异常检测与状态监测问题，</w:t>
      </w:r>
      <w:r>
        <w:rPr>
          <w:rFonts w:hint="eastAsia" w:ascii="宋体" w:hAnsi="宋体" w:eastAsia="宋体" w:cs="宋体"/>
          <w:b w:val="0"/>
          <w:bCs/>
          <w:sz w:val="24"/>
          <w:szCs w:val="24"/>
          <w:highlight w:val="none"/>
          <w:lang w:eastAsia="zh-CN"/>
        </w:rPr>
        <w:t>开发改进谱聚类算法，结合统计过程控制（SPC）与LSTM预测模型的阈值自优化方法，</w:t>
      </w:r>
      <w:r>
        <w:rPr>
          <w:rFonts w:hint="eastAsia" w:ascii="宋体" w:hAnsi="宋体" w:eastAsia="宋体" w:cs="宋体"/>
          <w:b w:val="0"/>
          <w:bCs/>
          <w:sz w:val="24"/>
          <w:szCs w:val="24"/>
          <w:highlight w:val="none"/>
          <w:lang w:val="en-US" w:eastAsia="zh-CN"/>
        </w:rPr>
        <w:t>实现高维数据非线性特征提取与异常检测优化、基于动态阈值的虚警抑制校准，借助交互式热力图可视化展示t-SNE和UMAP混合降维结果和基于SHAP值量化特征贡献实现异常状态的可视化与解释性分析研究，形成从异常筛查、阈值优化到成因溯源的闭环监测技术，支撑总装阶段航电系统异常状态的精准识别与快速决策。</w:t>
      </w:r>
    </w:p>
    <w:p w14:paraId="22207B86">
      <w:pPr>
        <w:pageBreakBefore w:val="0"/>
        <w:numPr>
          <w:ilvl w:val="0"/>
          <w:numId w:val="96"/>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面向总装故障诊断的多深度学习模型融合与优化技术</w:t>
      </w:r>
    </w:p>
    <w:p w14:paraId="3A1532F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200" w:firstLine="480"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val="en-US" w:eastAsia="zh-CN"/>
        </w:rPr>
        <w:t>针对多模型融合诊断中的协同优化与泛化瓶颈问题，开展</w:t>
      </w:r>
      <w:r>
        <w:rPr>
          <w:rFonts w:hint="eastAsia" w:ascii="宋体" w:hAnsi="宋体" w:eastAsia="宋体" w:cs="宋体"/>
          <w:b w:val="0"/>
          <w:bCs/>
          <w:sz w:val="24"/>
          <w:szCs w:val="24"/>
          <w:highlight w:val="none"/>
          <w:lang w:eastAsia="zh-CN"/>
        </w:rPr>
        <w:t>CNN-LSTM-DEN</w:t>
      </w:r>
      <w:r>
        <w:rPr>
          <w:rFonts w:hint="eastAsia" w:ascii="宋体" w:hAnsi="宋体" w:eastAsia="宋体" w:cs="宋体"/>
          <w:b w:val="0"/>
          <w:bCs/>
          <w:sz w:val="24"/>
          <w:szCs w:val="24"/>
          <w:highlight w:val="none"/>
          <w:lang w:val="en-US" w:eastAsia="zh-CN"/>
        </w:rPr>
        <w:t>多模型协同架构设计、动态融合与冲突消解策略研究，以及小样本故障快速学习能力增强，</w:t>
      </w:r>
      <w:r>
        <w:rPr>
          <w:rFonts w:hint="eastAsia" w:ascii="宋体" w:hAnsi="宋体" w:eastAsia="宋体" w:cs="宋体"/>
          <w:b w:val="0"/>
          <w:bCs/>
          <w:sz w:val="24"/>
          <w:szCs w:val="24"/>
          <w:highlight w:val="none"/>
          <w:lang w:eastAsia="zh-CN"/>
        </w:rPr>
        <w:t>结合</w:t>
      </w:r>
      <w:r>
        <w:rPr>
          <w:rFonts w:hint="eastAsia" w:ascii="宋体" w:hAnsi="宋体" w:eastAsia="宋体" w:cs="宋体"/>
          <w:b w:val="0"/>
          <w:bCs/>
          <w:sz w:val="24"/>
          <w:szCs w:val="24"/>
          <w:highlight w:val="none"/>
          <w:lang w:val="en-US" w:eastAsia="zh-CN"/>
        </w:rPr>
        <w:t>Transformer</w:t>
      </w:r>
      <w:r>
        <w:rPr>
          <w:rFonts w:hint="eastAsia" w:ascii="宋体" w:hAnsi="宋体" w:eastAsia="宋体" w:cs="宋体"/>
          <w:b w:val="0"/>
          <w:bCs/>
          <w:sz w:val="24"/>
          <w:szCs w:val="24"/>
          <w:highlight w:val="none"/>
          <w:lang w:eastAsia="zh-CN"/>
        </w:rPr>
        <w:t>注意力机制，</w:t>
      </w:r>
      <w:r>
        <w:rPr>
          <w:rFonts w:hint="eastAsia" w:ascii="宋体" w:hAnsi="宋体" w:eastAsia="宋体" w:cs="宋体"/>
          <w:b w:val="0"/>
          <w:bCs/>
          <w:sz w:val="24"/>
          <w:szCs w:val="24"/>
          <w:highlight w:val="none"/>
          <w:lang w:val="en-US" w:eastAsia="zh-CN"/>
        </w:rPr>
        <w:t>构建从多模态特征融合、自适应决策优化到知识迁移的闭环诊断技术，支撑总装阶段航电系统复杂故障的高精度识别与跨机型泛化诊断。</w:t>
      </w:r>
    </w:p>
    <w:p w14:paraId="418203E9">
      <w:pPr>
        <w:pageBreakBefore w:val="0"/>
        <w:numPr>
          <w:ilvl w:val="0"/>
          <w:numId w:val="96"/>
        </w:numPr>
        <w:kinsoku/>
        <w:wordWrap/>
        <w:topLinePunct w:val="0"/>
        <w:autoSpaceDE/>
        <w:autoSpaceDN/>
        <w:bidi w:val="0"/>
        <w:spacing w:line="240" w:lineRule="auto"/>
        <w:ind w:left="845" w:leftChars="0" w:hanging="425" w:firstLineChars="0"/>
        <w:rPr>
          <w:rFonts w:hint="eastAsia" w:ascii="宋体" w:hAnsi="宋体" w:eastAsia="宋体" w:cs="宋体"/>
          <w:b w:val="0"/>
          <w:bCs/>
          <w:i w:val="0"/>
          <w:iCs w:val="0"/>
          <w:sz w:val="24"/>
          <w:szCs w:val="24"/>
          <w:highlight w:val="none"/>
          <w:lang w:val="en-US" w:eastAsia="zh-CN"/>
        </w:rPr>
      </w:pPr>
      <w:r>
        <w:rPr>
          <w:rFonts w:hint="eastAsia" w:ascii="宋体" w:hAnsi="宋体" w:eastAsia="宋体" w:cs="宋体"/>
          <w:b w:val="0"/>
          <w:bCs/>
          <w:i w:val="0"/>
          <w:iCs w:val="0"/>
          <w:sz w:val="24"/>
          <w:szCs w:val="24"/>
          <w:highlight w:val="none"/>
          <w:lang w:val="en-US" w:eastAsia="zh-CN"/>
        </w:rPr>
        <w:t>基于多深度学习模型融合的故障诊断验证技术</w:t>
      </w:r>
    </w:p>
    <w:p w14:paraId="5E27AB2E">
      <w:pPr>
        <w:keepNext w:val="0"/>
        <w:keepLines w:val="0"/>
        <w:pageBreakBefore w:val="0"/>
        <w:widowControl w:val="0"/>
        <w:numPr>
          <w:ilvl w:val="4"/>
          <w:numId w:val="0"/>
        </w:numPr>
        <w:kinsoku/>
        <w:wordWrap/>
        <w:overflowPunct/>
        <w:topLinePunct w:val="0"/>
        <w:autoSpaceDE/>
        <w:autoSpaceDN/>
        <w:bidi w:val="0"/>
        <w:adjustRightInd/>
        <w:snapToGrid/>
        <w:spacing w:line="240" w:lineRule="auto"/>
        <w:ind w:leftChars="200" w:firstLine="480" w:firstLineChars="200"/>
        <w:textAlignment w:val="auto"/>
        <w:outlineLvl w:val="9"/>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lang w:eastAsia="zh-CN"/>
        </w:rPr>
        <w:t>针对多模型融合诊断的验证与可解释性瓶颈问题，</w:t>
      </w:r>
      <w:r>
        <w:rPr>
          <w:rFonts w:hint="eastAsia" w:ascii="宋体" w:hAnsi="宋体" w:eastAsia="宋体" w:cs="宋体"/>
          <w:b w:val="0"/>
          <w:bCs/>
          <w:sz w:val="24"/>
          <w:szCs w:val="24"/>
          <w:highlight w:val="none"/>
          <w:lang w:val="en-US" w:eastAsia="zh-CN"/>
        </w:rPr>
        <w:t>基于采用五折交叉验证（5-fold cross-validation）方法、快速梯度符号法（FGSM）和贝叶斯结构方程模型（BSEM）</w:t>
      </w:r>
      <w:r>
        <w:rPr>
          <w:rFonts w:hint="eastAsia" w:ascii="宋体" w:hAnsi="宋体" w:eastAsia="宋体" w:cs="宋体"/>
          <w:b w:val="0"/>
          <w:bCs/>
          <w:sz w:val="24"/>
          <w:szCs w:val="24"/>
          <w:highlight w:val="none"/>
          <w:lang w:eastAsia="zh-CN"/>
        </w:rPr>
        <w:t>开展算法泛化性与鲁棒性验证、诊断效率对比验证，构建从模型可靠性验证、工程效率评估到机理可解释性解析的闭环验证体系，支撑总装阶段故障诊断技术的工程适用性</w:t>
      </w:r>
      <w:r>
        <w:rPr>
          <w:rFonts w:hint="eastAsia" w:ascii="宋体" w:hAnsi="宋体" w:cs="宋体"/>
          <w:b w:val="0"/>
          <w:bCs/>
          <w:sz w:val="24"/>
          <w:szCs w:val="24"/>
          <w:highlight w:val="none"/>
          <w:lang w:eastAsia="zh-CN"/>
        </w:rPr>
        <w:t>和</w:t>
      </w:r>
      <w:r>
        <w:rPr>
          <w:rFonts w:hint="eastAsia" w:ascii="宋体" w:hAnsi="宋体" w:eastAsia="宋体" w:cs="宋体"/>
          <w:b w:val="0"/>
          <w:bCs/>
          <w:sz w:val="24"/>
          <w:szCs w:val="24"/>
          <w:highlight w:val="none"/>
          <w:lang w:eastAsia="zh-CN"/>
        </w:rPr>
        <w:t>效率优化。</w:t>
      </w:r>
    </w:p>
    <w:p w14:paraId="6612A66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p w14:paraId="15E236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80" w:leftChars="200" w:firstLine="420" w:firstLineChars="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在C909飞机总装生产线部署</w:t>
      </w:r>
      <w:r>
        <w:rPr>
          <w:rFonts w:hint="eastAsia" w:ascii="宋体" w:hAnsi="宋体" w:eastAsia="宋体" w:cs="宋体"/>
          <w:b w:val="0"/>
          <w:bCs/>
          <w:sz w:val="24"/>
          <w:szCs w:val="24"/>
          <w:highlight w:val="none"/>
          <w:lang w:eastAsia="zh-CN"/>
        </w:rPr>
        <w:t>机载系统多模态故障智能诊断</w:t>
      </w:r>
      <w:r>
        <w:rPr>
          <w:rFonts w:hint="eastAsia" w:ascii="宋体" w:hAnsi="宋体" w:eastAsia="宋体" w:cs="宋体"/>
          <w:b w:val="0"/>
          <w:bCs/>
          <w:sz w:val="24"/>
          <w:szCs w:val="24"/>
          <w:highlight w:val="none"/>
          <w:lang w:val="en-US" w:eastAsia="zh-CN"/>
        </w:rPr>
        <w:t>软件工程样机，关联C909飞机实时生产数据，完成算法数值仿真验证以及总装阶段实际诊断案例验证。</w:t>
      </w:r>
    </w:p>
    <w:p w14:paraId="03E550D8">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sz w:val="24"/>
          <w:szCs w:val="24"/>
          <w:highlight w:val="none"/>
        </w:rPr>
      </w:pPr>
      <w:r>
        <w:rPr>
          <w:rFonts w:hint="eastAsia" w:ascii="黑体" w:hAnsi="黑体" w:eastAsia="黑体" w:cs="黑体"/>
          <w:sz w:val="24"/>
          <w:szCs w:val="24"/>
          <w:highlight w:val="none"/>
        </w:rPr>
        <w:t>预期成果</w:t>
      </w:r>
    </w:p>
    <w:p w14:paraId="6421163B">
      <w:pPr>
        <w:keepNext w:val="0"/>
        <w:keepLines w:val="0"/>
        <w:pageBreakBefore w:val="0"/>
        <w:widowControl w:val="0"/>
        <w:numPr>
          <w:ilvl w:val="0"/>
          <w:numId w:val="97"/>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机载系统故障知识图谱1个；</w:t>
      </w:r>
    </w:p>
    <w:p w14:paraId="3C8A87B6">
      <w:pPr>
        <w:keepNext w:val="0"/>
        <w:keepLines w:val="0"/>
        <w:pageBreakBefore w:val="0"/>
        <w:widowControl w:val="0"/>
        <w:numPr>
          <w:ilvl w:val="0"/>
          <w:numId w:val="97"/>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总装阶段故障数据库1个（覆盖不少于5种典型故障模式3万条以上的故障关联数据）；</w:t>
      </w:r>
    </w:p>
    <w:p w14:paraId="17E36295">
      <w:pPr>
        <w:keepNext w:val="0"/>
        <w:keepLines w:val="0"/>
        <w:pageBreakBefore w:val="0"/>
        <w:widowControl w:val="0"/>
        <w:numPr>
          <w:ilvl w:val="0"/>
          <w:numId w:val="97"/>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基于深度聚类的异常监测模型1个、多模型融合诊断模型1个；</w:t>
      </w:r>
    </w:p>
    <w:p w14:paraId="7687A30A">
      <w:pPr>
        <w:keepNext w:val="0"/>
        <w:keepLines w:val="0"/>
        <w:pageBreakBefore w:val="0"/>
        <w:widowControl w:val="0"/>
        <w:numPr>
          <w:ilvl w:val="0"/>
          <w:numId w:val="97"/>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面向飞机总装的机载系统多模态故障智能诊断软件1套，向上飞公司提供源码、核心算法、训练数据集和测试数据集；</w:t>
      </w:r>
    </w:p>
    <w:p w14:paraId="1D9CFEE0">
      <w:pPr>
        <w:keepNext w:val="0"/>
        <w:keepLines w:val="0"/>
        <w:pageBreakBefore w:val="0"/>
        <w:widowControl w:val="0"/>
        <w:numPr>
          <w:ilvl w:val="0"/>
          <w:numId w:val="97"/>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应用于总装故障诊断的技术研究报告至少4份；</w:t>
      </w:r>
    </w:p>
    <w:p w14:paraId="77EC59BE">
      <w:pPr>
        <w:keepNext w:val="0"/>
        <w:keepLines w:val="0"/>
        <w:pageBreakBefore w:val="0"/>
        <w:widowControl w:val="0"/>
        <w:numPr>
          <w:ilvl w:val="0"/>
          <w:numId w:val="97"/>
        </w:numPr>
        <w:kinsoku/>
        <w:wordWrap/>
        <w:overflowPunct/>
        <w:topLinePunct w:val="0"/>
        <w:autoSpaceDE/>
        <w:autoSpaceDN/>
        <w:bidi w:val="0"/>
        <w:adjustRightInd/>
        <w:snapToGrid/>
        <w:spacing w:line="240" w:lineRule="auto"/>
        <w:ind w:left="845" w:leftChars="0" w:hanging="425" w:firstLineChars="0"/>
        <w:textAlignment w:val="auto"/>
        <w:outlineLvl w:val="9"/>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发表SCI/EI论文1-2篇，申请发明专利1-2项。</w:t>
      </w:r>
    </w:p>
    <w:p w14:paraId="6C5F7AC0">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建议研究周期和启动时间</w:t>
      </w:r>
    </w:p>
    <w:p w14:paraId="5B2379CF">
      <w:pPr>
        <w:pageBreakBefore w:val="0"/>
        <w:numPr>
          <w:ilvl w:val="0"/>
          <w:numId w:val="0"/>
        </w:numPr>
        <w:kinsoku/>
        <w:wordWrap/>
        <w:topLinePunct w:val="0"/>
        <w:autoSpaceDE/>
        <w:autoSpaceDN/>
        <w:bidi w:val="0"/>
        <w:spacing w:line="240" w:lineRule="auto"/>
        <w:ind w:leftChars="0" w:firstLine="420" w:firstLineChars="0"/>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rPr>
        <w:t>24个月</w:t>
      </w:r>
      <w:r>
        <w:rPr>
          <w:rFonts w:hint="eastAsia" w:ascii="宋体" w:hAnsi="宋体" w:eastAsia="宋体" w:cs="宋体"/>
          <w:b w:val="0"/>
          <w:bCs/>
          <w:sz w:val="24"/>
          <w:szCs w:val="24"/>
          <w:highlight w:val="none"/>
          <w:lang w:eastAsia="zh-CN"/>
        </w:rPr>
        <w:t>。</w:t>
      </w:r>
    </w:p>
    <w:p w14:paraId="4AE92287">
      <w:pPr>
        <w:pageBreakBefore w:val="0"/>
        <w:numPr>
          <w:ilvl w:val="0"/>
          <w:numId w:val="94"/>
        </w:numPr>
        <w:kinsoku/>
        <w:wordWrap/>
        <w:topLinePunct w:val="0"/>
        <w:autoSpaceDE/>
        <w:autoSpaceDN/>
        <w:bidi w:val="0"/>
        <w:spacing w:line="240" w:lineRule="auto"/>
        <w:ind w:left="425" w:leftChars="0" w:hanging="425" w:firstLineChars="0"/>
        <w:rPr>
          <w:rFonts w:hint="eastAsia" w:ascii="黑体" w:hAnsi="黑体" w:eastAsia="黑体" w:cs="黑体"/>
          <w:b w:val="0"/>
          <w:bCs/>
          <w:sz w:val="24"/>
          <w:szCs w:val="24"/>
          <w:highlight w:val="none"/>
        </w:rPr>
      </w:pPr>
      <w:r>
        <w:rPr>
          <w:rFonts w:hint="eastAsia" w:ascii="黑体" w:hAnsi="黑体" w:eastAsia="黑体" w:cs="黑体"/>
          <w:b w:val="0"/>
          <w:bCs/>
          <w:sz w:val="24"/>
          <w:szCs w:val="24"/>
          <w:highlight w:val="none"/>
        </w:rPr>
        <w:t>所需研究经费</w:t>
      </w:r>
    </w:p>
    <w:p w14:paraId="0EFCB0EF">
      <w:pPr>
        <w:pageBreakBefore w:val="0"/>
        <w:numPr>
          <w:ilvl w:val="0"/>
          <w:numId w:val="0"/>
        </w:numPr>
        <w:kinsoku/>
        <w:wordWrap/>
        <w:topLinePunct w:val="0"/>
        <w:autoSpaceDE/>
        <w:autoSpaceDN/>
        <w:bidi w:val="0"/>
        <w:spacing w:line="240" w:lineRule="auto"/>
        <w:ind w:leftChars="0" w:firstLine="420" w:firstLineChars="0"/>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50</w:t>
      </w:r>
      <w:r>
        <w:rPr>
          <w:rFonts w:hint="eastAsia" w:ascii="宋体" w:hAnsi="宋体" w:eastAsia="宋体" w:cs="宋体"/>
          <w:b w:val="0"/>
          <w:bCs/>
          <w:sz w:val="24"/>
          <w:szCs w:val="24"/>
          <w:highlight w:val="none"/>
        </w:rPr>
        <w:t>万元。</w:t>
      </w:r>
    </w:p>
    <w:p w14:paraId="3E633953">
      <w:pPr>
        <w:pageBreakBefore w:val="0"/>
        <w:kinsoku/>
        <w:wordWrap/>
        <w:overflowPunct/>
        <w:topLinePunct w:val="0"/>
        <w:autoSpaceDE/>
        <w:autoSpaceDN/>
        <w:bidi w:val="0"/>
        <w:adjustRightInd/>
        <w:snapToGrid w:val="0"/>
        <w:spacing w:line="240" w:lineRule="auto"/>
        <w:ind w:firstLine="480" w:firstLineChars="200"/>
        <w:contextualSpacing/>
        <w:rPr>
          <w:rFonts w:hint="eastAsia" w:asciiTheme="minorEastAsia" w:hAnsiTheme="minorEastAsia" w:eastAsiaTheme="minorEastAsia" w:cstheme="minorEastAsia"/>
          <w:sz w:val="24"/>
          <w:szCs w:val="22"/>
          <w:highlight w:val="none"/>
        </w:rPr>
      </w:pPr>
    </w:p>
    <w:p w14:paraId="474021BA">
      <w:pPr>
        <w:pStyle w:val="8"/>
        <w:pageBreakBefore w:val="0"/>
        <w:kinsoku/>
        <w:wordWrap/>
        <w:overflowPunct/>
        <w:topLinePunct w:val="0"/>
        <w:autoSpaceDE/>
        <w:autoSpaceDN/>
        <w:bidi w:val="0"/>
        <w:adjustRightInd/>
        <w:spacing w:line="240" w:lineRule="auto"/>
        <w:rPr>
          <w:highlight w:val="none"/>
        </w:rPr>
      </w:pPr>
    </w:p>
    <w:p w14:paraId="28B15649">
      <w:pPr>
        <w:pStyle w:val="8"/>
        <w:pageBreakBefore w:val="0"/>
        <w:kinsoku/>
        <w:wordWrap/>
        <w:overflowPunct/>
        <w:topLinePunct w:val="0"/>
        <w:autoSpaceDE/>
        <w:autoSpaceDN/>
        <w:bidi w:val="0"/>
        <w:adjustRightInd/>
        <w:spacing w:line="240" w:lineRule="auto"/>
        <w:rPr>
          <w:rFonts w:hint="eastAsia"/>
          <w:highlight w:val="none"/>
          <w:lang w:val="en-US" w:eastAsia="zh-CN"/>
        </w:rPr>
        <w:sectPr>
          <w:pgSz w:w="11906" w:h="16838"/>
          <w:pgMar w:top="1440" w:right="1800" w:bottom="1440" w:left="1800" w:header="851" w:footer="992" w:gutter="0"/>
          <w:cols w:space="425" w:num="1"/>
          <w:docGrid w:type="lines" w:linePitch="312" w:charSpace="0"/>
        </w:sectPr>
      </w:pPr>
    </w:p>
    <w:p w14:paraId="44CB65AD">
      <w:pPr>
        <w:pStyle w:val="2"/>
        <w:pageBreakBefore w:val="0"/>
        <w:kinsoku/>
        <w:wordWrap/>
        <w:topLinePunct w:val="0"/>
        <w:autoSpaceDE/>
        <w:autoSpaceDN/>
        <w:bidi w:val="0"/>
        <w:spacing w:line="240" w:lineRule="auto"/>
        <w:rPr>
          <w:rFonts w:hint="default" w:eastAsia="宋体"/>
          <w:highlight w:val="none"/>
          <w:lang w:val="en-US" w:eastAsia="zh-CN"/>
        </w:rPr>
      </w:pPr>
      <w:bookmarkStart w:id="48" w:name="_Toc3409"/>
      <w:r>
        <w:rPr>
          <w:rFonts w:hint="eastAsia" w:eastAsia="宋体"/>
          <w:highlight w:val="none"/>
          <w:lang w:val="en-US" w:eastAsia="zh-CN"/>
        </w:rPr>
        <w:t>基于深度学习的商用飞机常用金属材料及其构件智能失效分析技术研究</w:t>
      </w:r>
      <w:bookmarkEnd w:id="48"/>
    </w:p>
    <w:p w14:paraId="2BDC72FB">
      <w:pPr>
        <w:pageBreakBefore w:val="0"/>
        <w:numPr>
          <w:ilvl w:val="0"/>
          <w:numId w:val="98"/>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项目背景</w:t>
      </w:r>
    </w:p>
    <w:p w14:paraId="39FC30D7">
      <w:pPr>
        <w:pageBreakBefore w:val="0"/>
        <w:kinsoku/>
        <w:wordWrap/>
        <w:topLinePunct w:val="0"/>
        <w:autoSpaceDE/>
        <w:autoSpaceDN/>
        <w:bidi w:val="0"/>
        <w:spacing w:line="240" w:lineRule="auto"/>
        <w:ind w:firstLine="480" w:firstLineChars="200"/>
        <w:rPr>
          <w:rFonts w:hint="eastAsia"/>
          <w:highlight w:val="none"/>
        </w:rPr>
      </w:pPr>
      <w:r>
        <w:rPr>
          <w:rFonts w:hint="eastAsia"/>
          <w:highlight w:val="none"/>
        </w:rPr>
        <w:t>断口</w:t>
      </w:r>
      <w:r>
        <w:rPr>
          <w:rFonts w:hint="eastAsia"/>
          <w:highlight w:val="none"/>
          <w:lang w:val="en-US" w:eastAsia="zh-CN"/>
        </w:rPr>
        <w:t>形貌特征分析与金相分析是研究金属结构材料失效原因与失效行为的主要手段。</w:t>
      </w:r>
      <w:r>
        <w:rPr>
          <w:rFonts w:ascii="Times New Roman" w:hAnsi="Times New Roman" w:eastAsia="宋体" w:cs="Times New Roman"/>
          <w:highlight w:val="none"/>
        </w:rPr>
        <w:t>传统的</w:t>
      </w:r>
      <w:r>
        <w:rPr>
          <w:rFonts w:hint="eastAsia" w:ascii="Times New Roman" w:hAnsi="Times New Roman" w:eastAsia="宋体" w:cs="Times New Roman"/>
          <w:highlight w:val="none"/>
          <w:lang w:val="en-US" w:eastAsia="zh-CN"/>
        </w:rPr>
        <w:t>金相与</w:t>
      </w:r>
      <w:r>
        <w:rPr>
          <w:rFonts w:ascii="Times New Roman" w:hAnsi="Times New Roman" w:eastAsia="宋体" w:cs="Times New Roman"/>
          <w:highlight w:val="none"/>
        </w:rPr>
        <w:t>断</w:t>
      </w:r>
      <w:r>
        <w:rPr>
          <w:rFonts w:hint="eastAsia" w:ascii="Times New Roman" w:hAnsi="Times New Roman" w:eastAsia="宋体" w:cs="Times New Roman"/>
          <w:highlight w:val="none"/>
          <w:lang w:eastAsia="zh-CN"/>
        </w:rPr>
        <w:t>口</w:t>
      </w:r>
      <w:r>
        <w:rPr>
          <w:rFonts w:ascii="Times New Roman" w:hAnsi="Times New Roman" w:eastAsia="宋体" w:cs="Times New Roman"/>
          <w:highlight w:val="none"/>
        </w:rPr>
        <w:t>分析是在光学显微镜与扫描电子显微镜成像的基础上以肉眼观察结合专家经验分析而完成的，对分析人员的专业水平要求高、分析效率低下</w:t>
      </w:r>
      <w:r>
        <w:rPr>
          <w:rFonts w:hint="eastAsia" w:ascii="Times New Roman" w:hAnsi="Times New Roman" w:eastAsia="宋体" w:cs="Times New Roman"/>
          <w:highlight w:val="none"/>
          <w:lang w:eastAsia="zh-CN"/>
        </w:rPr>
        <w:t>，且带有一定</w:t>
      </w:r>
      <w:r>
        <w:rPr>
          <w:rFonts w:ascii="Times New Roman" w:hAnsi="Times New Roman" w:eastAsia="宋体" w:cs="Times New Roman"/>
          <w:highlight w:val="none"/>
        </w:rPr>
        <w:t>主观性。</w:t>
      </w:r>
      <w:r>
        <w:rPr>
          <w:rFonts w:hint="eastAsia"/>
          <w:highlight w:val="none"/>
          <w:lang w:val="en-US" w:eastAsia="zh-CN"/>
        </w:rPr>
        <w:t>与传统人工方法相比，AI技术赋能的</w:t>
      </w:r>
      <w:r>
        <w:rPr>
          <w:rFonts w:hint="eastAsia"/>
          <w:highlight w:val="none"/>
        </w:rPr>
        <w:t>深度学习</w:t>
      </w:r>
      <w:r>
        <w:rPr>
          <w:rFonts w:hint="eastAsia"/>
          <w:highlight w:val="none"/>
          <w:lang w:val="en-US" w:eastAsia="zh-CN"/>
        </w:rPr>
        <w:t>模型</w:t>
      </w:r>
      <w:r>
        <w:rPr>
          <w:rFonts w:hint="eastAsia"/>
          <w:highlight w:val="none"/>
        </w:rPr>
        <w:t>可以有效提</w:t>
      </w:r>
      <w:r>
        <w:rPr>
          <w:rFonts w:hint="eastAsia"/>
          <w:highlight w:val="none"/>
          <w:lang w:eastAsia="zh-CN"/>
        </w:rPr>
        <w:t>高</w:t>
      </w:r>
      <w:r>
        <w:rPr>
          <w:rFonts w:hint="eastAsia"/>
          <w:highlight w:val="none"/>
          <w:lang w:val="en-US" w:eastAsia="zh-CN"/>
        </w:rPr>
        <w:t>图像识别</w:t>
      </w:r>
      <w:r>
        <w:rPr>
          <w:rFonts w:hint="eastAsia"/>
          <w:highlight w:val="none"/>
        </w:rPr>
        <w:t>效率</w:t>
      </w:r>
      <w:r>
        <w:rPr>
          <w:rFonts w:hint="eastAsia"/>
          <w:highlight w:val="none"/>
          <w:lang w:val="en-US" w:eastAsia="zh-CN"/>
        </w:rPr>
        <w:t>与准确程度</w:t>
      </w:r>
      <w:r>
        <w:rPr>
          <w:rFonts w:hint="eastAsia"/>
          <w:highlight w:val="none"/>
        </w:rPr>
        <w:t>，快速对</w:t>
      </w:r>
      <w:r>
        <w:rPr>
          <w:rFonts w:hint="eastAsia"/>
          <w:highlight w:val="none"/>
          <w:lang w:eastAsia="zh-CN"/>
        </w:rPr>
        <w:t>断口和材料显微组织</w:t>
      </w:r>
      <w:r>
        <w:rPr>
          <w:rFonts w:hint="eastAsia"/>
          <w:highlight w:val="none"/>
        </w:rPr>
        <w:t>特征进行量化提取，</w:t>
      </w:r>
      <w:r>
        <w:rPr>
          <w:rFonts w:hint="eastAsia"/>
          <w:highlight w:val="none"/>
          <w:lang w:eastAsia="zh-CN"/>
        </w:rPr>
        <w:t>对</w:t>
      </w:r>
      <w:r>
        <w:rPr>
          <w:rFonts w:hint="eastAsia"/>
          <w:highlight w:val="none"/>
        </w:rPr>
        <w:t>失效</w:t>
      </w:r>
      <w:r>
        <w:rPr>
          <w:rFonts w:hint="eastAsia"/>
          <w:highlight w:val="none"/>
          <w:lang w:eastAsia="zh-CN"/>
        </w:rPr>
        <w:t>模式进行智能判断，对失效</w:t>
      </w:r>
      <w:r>
        <w:rPr>
          <w:rFonts w:hint="eastAsia"/>
          <w:highlight w:val="none"/>
        </w:rPr>
        <w:t>原因与材料</w:t>
      </w:r>
      <w:r>
        <w:rPr>
          <w:rFonts w:hint="eastAsia"/>
          <w:highlight w:val="none"/>
          <w:lang w:eastAsia="zh-CN"/>
        </w:rPr>
        <w:t>类型、</w:t>
      </w:r>
      <w:r>
        <w:rPr>
          <w:rFonts w:hint="eastAsia"/>
          <w:highlight w:val="none"/>
        </w:rPr>
        <w:t>性能进行</w:t>
      </w:r>
      <w:r>
        <w:rPr>
          <w:rFonts w:hint="eastAsia"/>
          <w:highlight w:val="none"/>
          <w:lang w:eastAsia="zh-CN"/>
        </w:rPr>
        <w:t>预测</w:t>
      </w:r>
      <w:r>
        <w:rPr>
          <w:rFonts w:hint="eastAsia"/>
          <w:highlight w:val="none"/>
        </w:rPr>
        <w:t>，为</w:t>
      </w:r>
      <w:r>
        <w:rPr>
          <w:rFonts w:hint="eastAsia"/>
          <w:highlight w:val="none"/>
          <w:lang w:val="en-US" w:eastAsia="zh-CN"/>
        </w:rPr>
        <w:t>航空结构件</w:t>
      </w:r>
      <w:r>
        <w:rPr>
          <w:rFonts w:hint="eastAsia"/>
          <w:highlight w:val="none"/>
        </w:rPr>
        <w:t>失效分析智能化和数字化转型提供技术手段</w:t>
      </w:r>
      <w:r>
        <w:rPr>
          <w:rFonts w:hint="eastAsia"/>
          <w:highlight w:val="none"/>
          <w:lang w:eastAsia="zh-CN"/>
        </w:rPr>
        <w:t>，</w:t>
      </w:r>
      <w:r>
        <w:rPr>
          <w:rFonts w:hint="eastAsia"/>
          <w:highlight w:val="none"/>
          <w:lang w:val="en-US" w:eastAsia="zh-CN"/>
        </w:rPr>
        <w:t>提升商用飞机用产品质量检测的效率与准确性</w:t>
      </w:r>
      <w:r>
        <w:rPr>
          <w:rFonts w:hint="eastAsia"/>
          <w:highlight w:val="none"/>
        </w:rPr>
        <w:t>。</w:t>
      </w:r>
    </w:p>
    <w:p w14:paraId="5E263E01">
      <w:pPr>
        <w:pageBreakBefore w:val="0"/>
        <w:numPr>
          <w:ilvl w:val="0"/>
          <w:numId w:val="98"/>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项目归属的重点专业领域</w:t>
      </w:r>
    </w:p>
    <w:p w14:paraId="5BA3A05C">
      <w:pPr>
        <w:pageBreakBefore w:val="0"/>
        <w:kinsoku/>
        <w:wordWrap/>
        <w:topLinePunct w:val="0"/>
        <w:autoSpaceDE/>
        <w:autoSpaceDN/>
        <w:bidi w:val="0"/>
        <w:spacing w:line="240" w:lineRule="auto"/>
        <w:ind w:firstLine="480" w:firstLineChars="200"/>
        <w:rPr>
          <w:rFonts w:hint="default"/>
          <w:highlight w:val="none"/>
          <w:lang w:val="en-US" w:eastAsia="zh-CN"/>
        </w:rPr>
      </w:pPr>
      <w:r>
        <w:rPr>
          <w:rFonts w:hint="eastAsia"/>
          <w:highlight w:val="none"/>
          <w:lang w:val="en-US" w:eastAsia="zh-CN"/>
        </w:rPr>
        <w:t>质量工程</w:t>
      </w:r>
    </w:p>
    <w:p w14:paraId="2C1E17D6">
      <w:pPr>
        <w:pageBreakBefore w:val="0"/>
        <w:numPr>
          <w:ilvl w:val="0"/>
          <w:numId w:val="98"/>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项目目标及技术指标</w:t>
      </w:r>
    </w:p>
    <w:p w14:paraId="3CB3ABFC">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项目目标： </w:t>
      </w:r>
    </w:p>
    <w:p w14:paraId="2B3AB639">
      <w:pPr>
        <w:pageBreakBefore w:val="0"/>
        <w:kinsoku/>
        <w:wordWrap/>
        <w:topLinePunct w:val="0"/>
        <w:autoSpaceDE/>
        <w:autoSpaceDN/>
        <w:bidi w:val="0"/>
        <w:spacing w:line="240" w:lineRule="auto"/>
        <w:ind w:firstLine="480" w:firstLineChars="200"/>
        <w:rPr>
          <w:rFonts w:hint="eastAsia"/>
          <w:b/>
          <w:highlight w:val="none"/>
          <w:lang w:val="en-US" w:eastAsia="zh-CN"/>
        </w:rPr>
      </w:pPr>
      <w:r>
        <w:rPr>
          <w:rFonts w:hint="eastAsia"/>
          <w:highlight w:val="none"/>
          <w:lang w:val="en-US" w:eastAsia="zh-CN"/>
        </w:rPr>
        <w:t>基于深度学习技术，建立金属材料失效断裂模式智能分析模型，实现商用飞机关键结构件断口形貌特征（如疲劳裂纹、韧窝、解理面、缺陷）、金相组织的快速识别。结合材料科学理论与可解释机器学习模型，建立断口特征与断裂原因、服役性能间的复杂映射关系模型，实现断裂原因智能分析、服役性能的智能预测与优化建议，构建适用于商用飞机结构件失效分析的智能化分析软件，以提升材料失效分析效率与准确性</w:t>
      </w:r>
      <w:r>
        <w:rPr>
          <w:rFonts w:hint="eastAsia"/>
          <w:highlight w:val="none"/>
        </w:rPr>
        <w:t>。</w:t>
      </w:r>
    </w:p>
    <w:p w14:paraId="38179B9A">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技术指标：</w:t>
      </w:r>
    </w:p>
    <w:p w14:paraId="3F9C9338">
      <w:pPr>
        <w:pageBreakBefore w:val="0"/>
        <w:widowControl/>
        <w:numPr>
          <w:ilvl w:val="0"/>
          <w:numId w:val="99"/>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断面</w:t>
      </w:r>
      <w:r>
        <w:rPr>
          <w:rFonts w:hint="eastAsia" w:ascii="宋体" w:hAnsi="宋体" w:eastAsia="宋体" w:cs="宋体"/>
          <w:sz w:val="24"/>
          <w:szCs w:val="24"/>
          <w:highlight w:val="none"/>
          <w:lang w:val="en-US" w:eastAsia="zh-CN"/>
        </w:rPr>
        <w:t>SEM图像</w:t>
      </w:r>
      <w:r>
        <w:rPr>
          <w:rFonts w:hint="default" w:ascii="宋体" w:hAnsi="宋体" w:eastAsia="宋体" w:cs="宋体"/>
          <w:sz w:val="24"/>
          <w:szCs w:val="24"/>
          <w:highlight w:val="none"/>
          <w:lang w:val="en-US" w:eastAsia="zh-CN"/>
        </w:rPr>
        <w:t>形貌特征识别模型的平均交并比</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mIoU</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&gt;0.5，识别时间&lt;3s。</w:t>
      </w:r>
    </w:p>
    <w:p w14:paraId="5E84132F">
      <w:pPr>
        <w:pageBreakBefore w:val="0"/>
        <w:widowControl/>
        <w:numPr>
          <w:ilvl w:val="0"/>
          <w:numId w:val="99"/>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断口</w:t>
      </w:r>
      <w:r>
        <w:rPr>
          <w:rFonts w:hint="eastAsia" w:ascii="宋体" w:hAnsi="宋体" w:eastAsia="宋体" w:cs="宋体"/>
          <w:sz w:val="24"/>
          <w:szCs w:val="24"/>
          <w:highlight w:val="none"/>
          <w:lang w:val="en-US" w:eastAsia="zh-CN"/>
        </w:rPr>
        <w:t>类型分类</w:t>
      </w:r>
      <w:r>
        <w:rPr>
          <w:rFonts w:hint="default" w:ascii="宋体" w:hAnsi="宋体" w:eastAsia="宋体" w:cs="宋体"/>
          <w:sz w:val="24"/>
          <w:szCs w:val="24"/>
          <w:highlight w:val="none"/>
          <w:lang w:val="en-US" w:eastAsia="zh-CN"/>
        </w:rPr>
        <w:t>准确率≥</w:t>
      </w:r>
      <w:r>
        <w:rPr>
          <w:rFonts w:hint="eastAsia" w:ascii="宋体" w:hAnsi="宋体" w:eastAsia="宋体" w:cs="宋体"/>
          <w:sz w:val="24"/>
          <w:szCs w:val="24"/>
          <w:highlight w:val="none"/>
          <w:lang w:val="en-US" w:eastAsia="zh-CN"/>
        </w:rPr>
        <w:t xml:space="preserve"> 90</w:t>
      </w:r>
      <w:r>
        <w:rPr>
          <w:rFonts w:hint="default" w:ascii="宋体" w:hAnsi="宋体" w:eastAsia="宋体" w:cs="宋体"/>
          <w:sz w:val="24"/>
          <w:szCs w:val="24"/>
          <w:highlight w:val="none"/>
          <w:lang w:val="en-US" w:eastAsia="zh-CN"/>
        </w:rPr>
        <w:t>%，断裂</w:t>
      </w:r>
      <w:r>
        <w:rPr>
          <w:rFonts w:hint="eastAsia" w:ascii="宋体" w:hAnsi="宋体" w:eastAsia="宋体" w:cs="宋体"/>
          <w:sz w:val="24"/>
          <w:szCs w:val="24"/>
          <w:highlight w:val="none"/>
          <w:lang w:val="en-US" w:eastAsia="zh-CN"/>
        </w:rPr>
        <w:t>模式</w:t>
      </w:r>
      <w:r>
        <w:rPr>
          <w:rFonts w:hint="default" w:ascii="宋体" w:hAnsi="宋体" w:eastAsia="宋体" w:cs="宋体"/>
          <w:sz w:val="24"/>
          <w:szCs w:val="24"/>
          <w:highlight w:val="none"/>
          <w:lang w:val="en-US" w:eastAsia="zh-CN"/>
        </w:rPr>
        <w:t>判别</w:t>
      </w:r>
      <w:r>
        <w:rPr>
          <w:rFonts w:hint="eastAsia" w:ascii="宋体" w:hAnsi="宋体" w:eastAsia="宋体" w:cs="宋体"/>
          <w:sz w:val="24"/>
          <w:szCs w:val="24"/>
          <w:highlight w:val="none"/>
          <w:lang w:val="en-US" w:eastAsia="zh-CN"/>
        </w:rPr>
        <w:t>准确率达</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 90%，服役</w:t>
      </w:r>
      <w:r>
        <w:rPr>
          <w:rFonts w:hint="default" w:ascii="宋体" w:hAnsi="宋体" w:eastAsia="宋体" w:cs="宋体"/>
          <w:sz w:val="24"/>
          <w:szCs w:val="24"/>
          <w:highlight w:val="none"/>
          <w:lang w:val="en-US" w:eastAsia="zh-CN"/>
        </w:rPr>
        <w:t>性能预测模型</w:t>
      </w:r>
      <w:r>
        <w:rPr>
          <w:rFonts w:hint="eastAsia" w:ascii="宋体" w:hAnsi="宋体" w:eastAsia="宋体" w:cs="宋体"/>
          <w:sz w:val="24"/>
          <w:szCs w:val="24"/>
          <w:highlight w:val="none"/>
          <w:lang w:val="en-US" w:eastAsia="zh-CN"/>
        </w:rPr>
        <w:t>满足决定系数</w:t>
      </w:r>
      <w:r>
        <w:rPr>
          <w:rFonts w:hint="default" w:ascii="宋体" w:hAnsi="宋体" w:eastAsia="宋体" w:cs="宋体"/>
          <w:sz w:val="24"/>
          <w:szCs w:val="24"/>
          <w:highlight w:val="none"/>
          <w:lang w:val="en-US" w:eastAsia="zh-CN"/>
        </w:rPr>
        <w:t>R2≥</w:t>
      </w:r>
      <w:r>
        <w:rPr>
          <w:rFonts w:hint="eastAsia" w:ascii="宋体" w:hAnsi="宋体" w:eastAsia="宋体" w:cs="宋体"/>
          <w:sz w:val="24"/>
          <w:szCs w:val="24"/>
          <w:highlight w:val="none"/>
          <w:lang w:val="en-US" w:eastAsia="zh-CN"/>
        </w:rPr>
        <w:t xml:space="preserve"> </w:t>
      </w:r>
      <w:r>
        <w:rPr>
          <w:rFonts w:hint="default" w:ascii="宋体" w:hAnsi="宋体" w:eastAsia="宋体" w:cs="宋体"/>
          <w:sz w:val="24"/>
          <w:szCs w:val="24"/>
          <w:highlight w:val="none"/>
          <w:lang w:val="en-US" w:eastAsia="zh-CN"/>
        </w:rPr>
        <w:t>0.9。</w:t>
      </w:r>
    </w:p>
    <w:p w14:paraId="1067A563">
      <w:pPr>
        <w:pageBreakBefore w:val="0"/>
        <w:widowControl/>
        <w:numPr>
          <w:ilvl w:val="0"/>
          <w:numId w:val="99"/>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实现商用飞机典型金属材料的金相智能识别，通过识别材料的显微组织从而对材料种类、状态进行预测。其中，缺陷识别准确率</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 90</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，合金类别识别准确率</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 90</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，合金状态识别准确率</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 85</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w:t>
      </w:r>
    </w:p>
    <w:p w14:paraId="62F34558">
      <w:pPr>
        <w:pageBreakBefore w:val="0"/>
        <w:widowControl/>
        <w:numPr>
          <w:ilvl w:val="0"/>
          <w:numId w:val="99"/>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开发集成断面图像识别、</w:t>
      </w:r>
      <w:r>
        <w:rPr>
          <w:rFonts w:hint="eastAsia" w:ascii="宋体" w:hAnsi="宋体" w:eastAsia="宋体" w:cs="宋体"/>
          <w:sz w:val="24"/>
          <w:szCs w:val="24"/>
          <w:highlight w:val="none"/>
          <w:lang w:val="en-US" w:eastAsia="zh-CN"/>
        </w:rPr>
        <w:t>金相识别、</w:t>
      </w:r>
      <w:r>
        <w:rPr>
          <w:rFonts w:hint="default" w:ascii="宋体" w:hAnsi="宋体" w:eastAsia="宋体" w:cs="宋体"/>
          <w:sz w:val="24"/>
          <w:szCs w:val="24"/>
          <w:highlight w:val="none"/>
          <w:lang w:val="en-US" w:eastAsia="zh-CN"/>
        </w:rPr>
        <w:t>断裂原因分析、</w:t>
      </w:r>
      <w:r>
        <w:rPr>
          <w:rFonts w:hint="eastAsia" w:ascii="宋体" w:hAnsi="宋体" w:eastAsia="宋体" w:cs="宋体"/>
          <w:sz w:val="24"/>
          <w:szCs w:val="24"/>
          <w:highlight w:val="none"/>
          <w:lang w:val="en-US" w:eastAsia="zh-CN"/>
        </w:rPr>
        <w:t>服役</w:t>
      </w:r>
      <w:r>
        <w:rPr>
          <w:rFonts w:hint="default" w:ascii="宋体" w:hAnsi="宋体" w:eastAsia="宋体" w:cs="宋体"/>
          <w:sz w:val="24"/>
          <w:szCs w:val="24"/>
          <w:highlight w:val="none"/>
          <w:lang w:val="en-US" w:eastAsia="zh-CN"/>
        </w:rPr>
        <w:t>性能预测与优化建议的智能软件1套。</w:t>
      </w:r>
    </w:p>
    <w:p w14:paraId="7BA6BA4D">
      <w:pPr>
        <w:pageBreakBefore w:val="0"/>
        <w:widowControl/>
        <w:numPr>
          <w:ilvl w:val="0"/>
          <w:numId w:val="99"/>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失效分析断口智能分析</w:t>
      </w:r>
      <w:r>
        <w:rPr>
          <w:rFonts w:hint="default" w:ascii="宋体" w:hAnsi="宋体" w:eastAsia="宋体" w:cs="宋体"/>
          <w:sz w:val="24"/>
          <w:szCs w:val="24"/>
          <w:highlight w:val="none"/>
          <w:lang w:val="en-US" w:eastAsia="zh-CN"/>
        </w:rPr>
        <w:t>技术成熟度</w:t>
      </w:r>
      <w:r>
        <w:rPr>
          <w:rFonts w:hint="eastAsia" w:ascii="宋体" w:hAnsi="宋体" w:eastAsia="宋体" w:cs="宋体"/>
          <w:sz w:val="24"/>
          <w:szCs w:val="24"/>
          <w:highlight w:val="none"/>
          <w:lang w:val="en-US" w:eastAsia="zh-CN"/>
        </w:rPr>
        <w:t>达</w:t>
      </w:r>
      <w:r>
        <w:rPr>
          <w:rFonts w:hint="default" w:ascii="宋体" w:hAnsi="宋体" w:eastAsia="宋体" w:cs="宋体"/>
          <w:sz w:val="24"/>
          <w:szCs w:val="24"/>
          <w:highlight w:val="none"/>
          <w:lang w:val="en-US" w:eastAsia="zh-CN"/>
        </w:rPr>
        <w:t>TRL</w:t>
      </w:r>
      <w:r>
        <w:rPr>
          <w:rFonts w:hint="eastAsia" w:ascii="宋体" w:hAnsi="宋体" w:eastAsia="宋体" w:cs="宋体"/>
          <w:sz w:val="24"/>
          <w:szCs w:val="24"/>
          <w:highlight w:val="none"/>
          <w:lang w:val="en-US" w:eastAsia="zh-CN"/>
        </w:rPr>
        <w:t>5</w:t>
      </w:r>
      <w:r>
        <w:rPr>
          <w:rFonts w:hint="default" w:ascii="宋体" w:hAnsi="宋体" w:eastAsia="宋体" w:cs="宋体"/>
          <w:sz w:val="24"/>
          <w:szCs w:val="24"/>
          <w:highlight w:val="none"/>
          <w:lang w:val="en-US" w:eastAsia="zh-CN"/>
        </w:rPr>
        <w:t>级</w:t>
      </w:r>
      <w:r>
        <w:rPr>
          <w:rFonts w:hint="eastAsia" w:ascii="宋体" w:hAnsi="宋体" w:eastAsia="宋体" w:cs="宋体"/>
          <w:sz w:val="24"/>
          <w:szCs w:val="24"/>
          <w:highlight w:val="none"/>
          <w:lang w:val="en-US" w:eastAsia="zh-CN"/>
        </w:rPr>
        <w:t>。</w:t>
      </w:r>
    </w:p>
    <w:p w14:paraId="0C3782F9">
      <w:pPr>
        <w:pageBreakBefore w:val="0"/>
        <w:numPr>
          <w:ilvl w:val="0"/>
          <w:numId w:val="98"/>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主要研究内容</w:t>
      </w:r>
    </w:p>
    <w:p w14:paraId="27159EEF">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拟解决的关键技术</w:t>
      </w:r>
    </w:p>
    <w:p w14:paraId="6F321983">
      <w:pPr>
        <w:pageBreakBefore w:val="0"/>
        <w:widowControl/>
        <w:numPr>
          <w:ilvl w:val="0"/>
          <w:numId w:val="10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金属结构件宏观和微观断口图像典型形貌特征语义分割技术。</w:t>
      </w:r>
    </w:p>
    <w:p w14:paraId="3A540C16">
      <w:pPr>
        <w:pageBreakBefore w:val="0"/>
        <w:numPr>
          <w:ilvl w:val="0"/>
          <w:numId w:val="0"/>
        </w:numPr>
        <w:kinsoku/>
        <w:wordWrap/>
        <w:topLinePunct w:val="0"/>
        <w:autoSpaceDE/>
        <w:autoSpaceDN/>
        <w:bidi w:val="0"/>
        <w:spacing w:line="240" w:lineRule="auto"/>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对大量宏观和微观断口图像特征进行标定，结合语义分割等深度学习技术，研究试样过载、疲劳、腐蚀、磨损、韧性、脆性等断口图像中特征形貌的精确分割识别与特征提取算法，提升断口特征识别的准确性与定量性。</w:t>
      </w:r>
    </w:p>
    <w:p w14:paraId="44499C85">
      <w:pPr>
        <w:pageBreakBefore w:val="0"/>
        <w:widowControl/>
        <w:numPr>
          <w:ilvl w:val="0"/>
          <w:numId w:val="10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试样断口类型智能分类技术。</w:t>
      </w:r>
    </w:p>
    <w:p w14:paraId="15B0C6A9">
      <w:pPr>
        <w:pageBreakBefore w:val="0"/>
        <w:numPr>
          <w:ilvl w:val="0"/>
          <w:numId w:val="0"/>
        </w:numPr>
        <w:kinsoku/>
        <w:wordWrap/>
        <w:topLinePunct w:val="0"/>
        <w:autoSpaceDE/>
        <w:autoSpaceDN/>
        <w:bidi w:val="0"/>
        <w:spacing w:line="240" w:lineRule="auto"/>
        <w:ind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构建包含韧性断裂、脆性断裂、疲劳断裂、过载断裂等典型断口类型的样本库，研究断口类型与韧窝、疲劳裂纹、解理面、晶面、腐蚀等断面形貌的量化特征值间的复杂映射关系，构建断口类型智能分类技术，降低断裂分析的判断主观性。</w:t>
      </w:r>
    </w:p>
    <w:p w14:paraId="06FE8DED">
      <w:pPr>
        <w:pageBreakBefore w:val="0"/>
        <w:widowControl/>
        <w:numPr>
          <w:ilvl w:val="0"/>
          <w:numId w:val="10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商用飞机常见材料金相智能识别技术。</w:t>
      </w:r>
    </w:p>
    <w:p w14:paraId="6920C8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基于深度学习技术，研究基于商用飞机典型金属材料的金相组织形貌特征，以及冶金缺陷、热处理缺陷以及环境致损等缺陷特征，如气孔、缩松、腐蚀、过热过烧、高温氧化、表面污染等形貌特征，建立金相组织与材料关键信息之间的关系，如材料类型、状态、加工工艺等，加速金相分析过程。</w:t>
      </w:r>
    </w:p>
    <w:p w14:paraId="2A6B52C6">
      <w:pPr>
        <w:pageBreakBefore w:val="0"/>
        <w:widowControl/>
        <w:numPr>
          <w:ilvl w:val="0"/>
          <w:numId w:val="100"/>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金属类未知物智能识别技术。</w:t>
      </w:r>
    </w:p>
    <w:p w14:paraId="4252BE0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基于深度学习技术，研究商用飞机常用金属材料化学元素种类和含量，建立化学成分与材料牌号之间的关系，实现基于成分/成分+金相组织的未知物种类和状态判断。</w:t>
      </w:r>
    </w:p>
    <w:p w14:paraId="38B0A909">
      <w:pPr>
        <w:pageBreakBefore w:val="0"/>
        <w:widowControl/>
        <w:numPr>
          <w:ilvl w:val="0"/>
          <w:numId w:val="100"/>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断裂模式智能判别以及断裂原因与服役性能的智能推断技术。</w:t>
      </w:r>
    </w:p>
    <w:p w14:paraId="20E7010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基于可解释机器学习模型，研究断口特征、明确断裂模式，探索断裂原因与材料性能、外部环境等因素之间的关联规则，开发专家系统与因果推断算法，实现断裂原因的智能分析与以及服役性能的推断。</w:t>
      </w:r>
    </w:p>
    <w:p w14:paraId="62CA8006">
      <w:pPr>
        <w:pageBreakBefore w:val="0"/>
        <w:kinsoku/>
        <w:wordWrap/>
        <w:topLinePunct w:val="0"/>
        <w:autoSpaceDE/>
        <w:autoSpaceDN/>
        <w:bidi w:val="0"/>
        <w:spacing w:line="240" w:lineRule="auto"/>
        <w:ind w:firstLine="480"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研究结果的验证方式</w:t>
      </w:r>
    </w:p>
    <w:p w14:paraId="54676A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项目研发的算法模型以独立的模型源代码文件以及集成开发的应用软件两种形式呈现。模型的功能性采用现场演示的方式进行验证。模型的预测准确性与可靠性由项目发布单位提供未经训练的“测试集样本”进行测试，测试结果需满足技术指标。研究成果则以学术论文、发明专利申请证明页与软件著作权登记证书等形式呈现。</w:t>
      </w:r>
    </w:p>
    <w:p w14:paraId="3A7B4D51">
      <w:pPr>
        <w:pageBreakBefore w:val="0"/>
        <w:numPr>
          <w:ilvl w:val="0"/>
          <w:numId w:val="98"/>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预期成果</w:t>
      </w:r>
    </w:p>
    <w:p w14:paraId="7B0F165D">
      <w:pPr>
        <w:pageBreakBefore w:val="0"/>
        <w:widowControl/>
        <w:numPr>
          <w:ilvl w:val="0"/>
          <w:numId w:val="10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申请发明专利2项；</w:t>
      </w:r>
    </w:p>
    <w:p w14:paraId="0636CE1A">
      <w:pPr>
        <w:pageBreakBefore w:val="0"/>
        <w:widowControl/>
        <w:numPr>
          <w:ilvl w:val="0"/>
          <w:numId w:val="10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发表学术论文2篇；</w:t>
      </w:r>
    </w:p>
    <w:p w14:paraId="5244C547">
      <w:pPr>
        <w:pageBreakBefore w:val="0"/>
        <w:widowControl/>
        <w:numPr>
          <w:ilvl w:val="0"/>
          <w:numId w:val="101"/>
        </w:numPr>
        <w:kinsoku/>
        <w:wordWrap/>
        <w:topLinePunct w:val="0"/>
        <w:autoSpaceDE/>
        <w:autoSpaceDN/>
        <w:bidi w:val="0"/>
        <w:spacing w:line="240" w:lineRule="auto"/>
        <w:ind w:left="0"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封装后的软件1套（包含相关知识库、数据库/数据集、源代码等），并获得软件著作权登记1项；</w:t>
      </w:r>
    </w:p>
    <w:p w14:paraId="641C4177">
      <w:pPr>
        <w:pageBreakBefore w:val="0"/>
        <w:widowControl/>
        <w:numPr>
          <w:ilvl w:val="0"/>
          <w:numId w:val="101"/>
        </w:numPr>
        <w:kinsoku/>
        <w:wordWrap/>
        <w:topLinePunct w:val="0"/>
        <w:autoSpaceDE/>
        <w:autoSpaceDN/>
        <w:bidi w:val="0"/>
        <w:spacing w:line="240" w:lineRule="auto"/>
        <w:ind w:left="0"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应用于金属材料失效分析的机器学习算法研究报告至少3篇；</w:t>
      </w:r>
    </w:p>
    <w:p w14:paraId="66EC20D4">
      <w:pPr>
        <w:pageBreakBefore w:val="0"/>
        <w:numPr>
          <w:ilvl w:val="0"/>
          <w:numId w:val="98"/>
        </w:numPr>
        <w:kinsoku/>
        <w:wordWrap/>
        <w:topLinePunct w:val="0"/>
        <w:autoSpaceDE/>
        <w:autoSpaceDN/>
        <w:bidi w:val="0"/>
        <w:spacing w:line="240" w:lineRule="auto"/>
        <w:ind w:left="425" w:leftChars="0" w:hanging="425" w:firstLineChars="0"/>
        <w:rPr>
          <w:rFonts w:ascii="仿宋_GB2312" w:hAnsi="宋体" w:eastAsia="仿宋_GB2312"/>
          <w:b/>
          <w:sz w:val="24"/>
          <w:highlight w:val="none"/>
        </w:rPr>
      </w:pPr>
      <w:r>
        <w:rPr>
          <w:rFonts w:hint="eastAsia" w:ascii="黑体" w:hAnsi="黑体" w:eastAsia="黑体" w:cs="黑体"/>
          <w:sz w:val="24"/>
          <w:szCs w:val="22"/>
          <w:highlight w:val="none"/>
        </w:rPr>
        <w:t>建议研究周期和启动时间</w:t>
      </w:r>
    </w:p>
    <w:p w14:paraId="710FEBD0">
      <w:pPr>
        <w:pageBreakBefore w:val="0"/>
        <w:numPr>
          <w:ilvl w:val="0"/>
          <w:numId w:val="0"/>
        </w:numPr>
        <w:kinsoku/>
        <w:wordWrap/>
        <w:topLinePunct w:val="0"/>
        <w:autoSpaceDE/>
        <w:autoSpaceDN/>
        <w:bidi w:val="0"/>
        <w:spacing w:line="240" w:lineRule="auto"/>
        <w:ind w:leftChars="0"/>
        <w:rPr>
          <w:rFonts w:hint="default" w:ascii="仿宋_GB2312" w:hAnsi="宋体" w:eastAsia="仿宋_GB2312"/>
          <w:b/>
          <w:sz w:val="24"/>
          <w:highlight w:val="none"/>
          <w:lang w:val="en-US" w:eastAsia="zh-CN"/>
        </w:rPr>
      </w:pPr>
      <w:r>
        <w:rPr>
          <w:rFonts w:hint="eastAsia" w:ascii="仿宋_GB2312" w:hAnsi="宋体" w:eastAsia="仿宋_GB2312"/>
          <w:b/>
          <w:i/>
          <w:iCs/>
          <w:sz w:val="24"/>
          <w:highlight w:val="none"/>
          <w:lang w:val="en-US" w:eastAsia="zh-CN"/>
        </w:rPr>
        <w:t xml:space="preserve">    </w:t>
      </w:r>
      <w:r>
        <w:rPr>
          <w:rFonts w:hint="eastAsia" w:ascii="Times New Roman" w:hAnsi="Times New Roman" w:cs="Times New Roman"/>
          <w:highlight w:val="none"/>
          <w:lang w:val="en-US" w:eastAsia="zh-CN"/>
        </w:rPr>
        <w:t>24个月。</w:t>
      </w:r>
    </w:p>
    <w:p w14:paraId="29FCFD73">
      <w:pPr>
        <w:pageBreakBefore w:val="0"/>
        <w:numPr>
          <w:ilvl w:val="0"/>
          <w:numId w:val="98"/>
        </w:numPr>
        <w:kinsoku/>
        <w:wordWrap/>
        <w:topLinePunct w:val="0"/>
        <w:autoSpaceDE/>
        <w:autoSpaceDN/>
        <w:bidi w:val="0"/>
        <w:spacing w:line="240" w:lineRule="auto"/>
        <w:ind w:left="425" w:leftChars="0" w:hanging="425" w:firstLineChars="0"/>
        <w:rPr>
          <w:rFonts w:ascii="黑体" w:hAnsi="黑体" w:eastAsia="黑体" w:cs="黑体"/>
          <w:sz w:val="24"/>
          <w:szCs w:val="22"/>
          <w:highlight w:val="none"/>
        </w:rPr>
      </w:pPr>
      <w:r>
        <w:rPr>
          <w:rFonts w:hint="eastAsia" w:ascii="黑体" w:hAnsi="黑体" w:eastAsia="黑体" w:cs="黑体"/>
          <w:sz w:val="24"/>
          <w:szCs w:val="22"/>
          <w:highlight w:val="none"/>
        </w:rPr>
        <w:t>所需研究经费</w:t>
      </w:r>
    </w:p>
    <w:p w14:paraId="570263D6">
      <w:pPr>
        <w:pageBreakBefore w:val="0"/>
        <w:numPr>
          <w:ilvl w:val="0"/>
          <w:numId w:val="0"/>
        </w:numPr>
        <w:kinsoku/>
        <w:wordWrap/>
        <w:topLinePunct w:val="0"/>
        <w:autoSpaceDE/>
        <w:autoSpaceDN/>
        <w:bidi w:val="0"/>
        <w:spacing w:line="240" w:lineRule="auto"/>
        <w:ind w:leftChars="0" w:firstLine="480" w:firstLineChars="2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50万元。</w:t>
      </w:r>
    </w:p>
    <w:p w14:paraId="31C18743">
      <w:pPr>
        <w:pStyle w:val="8"/>
        <w:pageBreakBefore w:val="0"/>
        <w:kinsoku/>
        <w:wordWrap/>
        <w:topLinePunct w:val="0"/>
        <w:autoSpaceDE/>
        <w:autoSpaceDN/>
        <w:bidi w:val="0"/>
        <w:spacing w:line="240" w:lineRule="auto"/>
        <w:jc w:val="left"/>
        <w:rPr>
          <w:rFonts w:hint="eastAsia" w:ascii="宋体" w:hAnsi="宋体" w:eastAsia="宋体" w:cs="宋体"/>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0000000000000000000"/>
    <w:charset w:val="00"/>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A3862">
    <w:pPr>
      <w:pStyle w:val="7"/>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69B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A37012">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A37012">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351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DB69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8DB69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DB56F"/>
    <w:multiLevelType w:val="multilevel"/>
    <w:tmpl w:val="800DB56F"/>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80C94FCF"/>
    <w:multiLevelType w:val="multilevel"/>
    <w:tmpl w:val="80C94FC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8658C300"/>
    <w:multiLevelType w:val="singleLevel"/>
    <w:tmpl w:val="8658C300"/>
    <w:lvl w:ilvl="0" w:tentative="0">
      <w:start w:val="1"/>
      <w:numFmt w:val="decimal"/>
      <w:suff w:val="nothing"/>
      <w:lvlText w:val="%1）"/>
      <w:lvlJc w:val="left"/>
    </w:lvl>
  </w:abstractNum>
  <w:abstractNum w:abstractNumId="3">
    <w:nsid w:val="88565865"/>
    <w:multiLevelType w:val="multilevel"/>
    <w:tmpl w:val="88565865"/>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
    <w:nsid w:val="8C397B66"/>
    <w:multiLevelType w:val="singleLevel"/>
    <w:tmpl w:val="8C397B66"/>
    <w:lvl w:ilvl="0" w:tentative="0">
      <w:start w:val="1"/>
      <w:numFmt w:val="decimal"/>
      <w:lvlText w:val="%1)"/>
      <w:lvlJc w:val="left"/>
      <w:pPr>
        <w:ind w:left="425" w:hanging="425"/>
      </w:pPr>
      <w:rPr>
        <w:rFonts w:hint="default"/>
      </w:rPr>
    </w:lvl>
  </w:abstractNum>
  <w:abstractNum w:abstractNumId="5">
    <w:nsid w:val="8F10902B"/>
    <w:multiLevelType w:val="multilevel"/>
    <w:tmpl w:val="8F10902B"/>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911D6C90"/>
    <w:multiLevelType w:val="singleLevel"/>
    <w:tmpl w:val="911D6C90"/>
    <w:lvl w:ilvl="0" w:tentative="0">
      <w:start w:val="1"/>
      <w:numFmt w:val="decimal"/>
      <w:pStyle w:val="4"/>
      <w:lvlText w:val="(%1)"/>
      <w:lvlJc w:val="left"/>
      <w:pPr>
        <w:ind w:left="425" w:hanging="425"/>
      </w:pPr>
      <w:rPr>
        <w:rFonts w:hint="default"/>
      </w:rPr>
    </w:lvl>
  </w:abstractNum>
  <w:abstractNum w:abstractNumId="7">
    <w:nsid w:val="97066EDE"/>
    <w:multiLevelType w:val="multilevel"/>
    <w:tmpl w:val="97066EDE"/>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9A77A1CA"/>
    <w:multiLevelType w:val="multilevel"/>
    <w:tmpl w:val="9A77A1CA"/>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9">
    <w:nsid w:val="9D5A8CDF"/>
    <w:multiLevelType w:val="singleLevel"/>
    <w:tmpl w:val="9D5A8CDF"/>
    <w:lvl w:ilvl="0" w:tentative="0">
      <w:start w:val="1"/>
      <w:numFmt w:val="decimal"/>
      <w:lvlText w:val="%1)"/>
      <w:lvlJc w:val="left"/>
      <w:pPr>
        <w:ind w:left="425" w:hanging="425"/>
      </w:pPr>
      <w:rPr>
        <w:rFonts w:hint="default"/>
      </w:rPr>
    </w:lvl>
  </w:abstractNum>
  <w:abstractNum w:abstractNumId="10">
    <w:nsid w:val="A22C2518"/>
    <w:multiLevelType w:val="singleLevel"/>
    <w:tmpl w:val="A22C2518"/>
    <w:lvl w:ilvl="0" w:tentative="0">
      <w:start w:val="1"/>
      <w:numFmt w:val="decimal"/>
      <w:lvlText w:val="%1)"/>
      <w:lvlJc w:val="left"/>
      <w:pPr>
        <w:ind w:left="425" w:hanging="425"/>
      </w:pPr>
      <w:rPr>
        <w:rFonts w:hint="default"/>
      </w:rPr>
    </w:lvl>
  </w:abstractNum>
  <w:abstractNum w:abstractNumId="11">
    <w:nsid w:val="A22C612E"/>
    <w:multiLevelType w:val="singleLevel"/>
    <w:tmpl w:val="A22C612E"/>
    <w:lvl w:ilvl="0" w:tentative="0">
      <w:start w:val="1"/>
      <w:numFmt w:val="decimal"/>
      <w:lvlText w:val="%1)"/>
      <w:lvlJc w:val="left"/>
      <w:pPr>
        <w:ind w:left="425" w:hanging="425"/>
      </w:pPr>
      <w:rPr>
        <w:rFonts w:hint="default"/>
      </w:rPr>
    </w:lvl>
  </w:abstractNum>
  <w:abstractNum w:abstractNumId="12">
    <w:nsid w:val="A23E5926"/>
    <w:multiLevelType w:val="singleLevel"/>
    <w:tmpl w:val="A23E5926"/>
    <w:lvl w:ilvl="0" w:tentative="0">
      <w:start w:val="1"/>
      <w:numFmt w:val="decimal"/>
      <w:lvlText w:val="%1)"/>
      <w:lvlJc w:val="left"/>
      <w:pPr>
        <w:ind w:left="425" w:hanging="425"/>
      </w:pPr>
      <w:rPr>
        <w:rFonts w:hint="default"/>
      </w:rPr>
    </w:lvl>
  </w:abstractNum>
  <w:abstractNum w:abstractNumId="13">
    <w:nsid w:val="AC6AA3C3"/>
    <w:multiLevelType w:val="singleLevel"/>
    <w:tmpl w:val="AC6AA3C3"/>
    <w:lvl w:ilvl="0" w:tentative="0">
      <w:start w:val="1"/>
      <w:numFmt w:val="decimal"/>
      <w:suff w:val="nothing"/>
      <w:lvlText w:val="%1）"/>
      <w:lvlJc w:val="left"/>
    </w:lvl>
  </w:abstractNum>
  <w:abstractNum w:abstractNumId="14">
    <w:nsid w:val="AE0E55BD"/>
    <w:multiLevelType w:val="singleLevel"/>
    <w:tmpl w:val="AE0E55BD"/>
    <w:lvl w:ilvl="0" w:tentative="0">
      <w:start w:val="1"/>
      <w:numFmt w:val="decimal"/>
      <w:suff w:val="nothing"/>
      <w:lvlText w:val="%1）"/>
      <w:lvlJc w:val="left"/>
    </w:lvl>
  </w:abstractNum>
  <w:abstractNum w:abstractNumId="15">
    <w:nsid w:val="B21DD232"/>
    <w:multiLevelType w:val="multilevel"/>
    <w:tmpl w:val="B21DD232"/>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6">
    <w:nsid w:val="B514BB8D"/>
    <w:multiLevelType w:val="singleLevel"/>
    <w:tmpl w:val="B514BB8D"/>
    <w:lvl w:ilvl="0" w:tentative="0">
      <w:start w:val="1"/>
      <w:numFmt w:val="decimal"/>
      <w:suff w:val="nothing"/>
      <w:lvlText w:val="%1）"/>
      <w:lvlJc w:val="left"/>
    </w:lvl>
  </w:abstractNum>
  <w:abstractNum w:abstractNumId="17">
    <w:nsid w:val="B8710567"/>
    <w:multiLevelType w:val="multilevel"/>
    <w:tmpl w:val="B871056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8">
    <w:nsid w:val="BF9979F9"/>
    <w:multiLevelType w:val="multilevel"/>
    <w:tmpl w:val="BF9979F9"/>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9">
    <w:nsid w:val="C01F50FB"/>
    <w:multiLevelType w:val="singleLevel"/>
    <w:tmpl w:val="C01F50FB"/>
    <w:lvl w:ilvl="0" w:tentative="0">
      <w:start w:val="1"/>
      <w:numFmt w:val="decimal"/>
      <w:lvlText w:val="%1."/>
      <w:lvlJc w:val="left"/>
      <w:pPr>
        <w:ind w:left="425" w:hanging="425"/>
      </w:pPr>
      <w:rPr>
        <w:rFonts w:hint="default"/>
      </w:rPr>
    </w:lvl>
  </w:abstractNum>
  <w:abstractNum w:abstractNumId="20">
    <w:nsid w:val="C10EBA70"/>
    <w:multiLevelType w:val="multilevel"/>
    <w:tmpl w:val="C10EBA70"/>
    <w:lvl w:ilvl="0" w:tentative="0">
      <w:start w:val="1"/>
      <w:numFmt w:val="decimal"/>
      <w:lvlText w:val="%1."/>
      <w:lvlJc w:val="left"/>
      <w:pPr>
        <w:tabs>
          <w:tab w:val="left" w:pos="-420"/>
        </w:tabs>
        <w:ind w:left="5" w:hanging="425"/>
      </w:pPr>
      <w:rPr>
        <w:rFonts w:hint="default"/>
      </w:rPr>
    </w:lvl>
    <w:lvl w:ilvl="1" w:tentative="0">
      <w:start w:val="1"/>
      <w:numFmt w:val="decimal"/>
      <w:lvlText w:val="(%2)"/>
      <w:lvlJc w:val="left"/>
      <w:pPr>
        <w:tabs>
          <w:tab w:val="left" w:pos="420"/>
        </w:tabs>
        <w:ind w:left="420" w:hanging="420"/>
      </w:pPr>
      <w:rPr>
        <w:rFonts w:hint="default"/>
      </w:rPr>
    </w:lvl>
    <w:lvl w:ilvl="2" w:tentative="0">
      <w:start w:val="1"/>
      <w:numFmt w:val="decimalEnclosedCircleChinese"/>
      <w:lvlText w:val="%3"/>
      <w:lvlJc w:val="left"/>
      <w:pPr>
        <w:tabs>
          <w:tab w:val="left" w:pos="840"/>
        </w:tabs>
        <w:ind w:left="840" w:hanging="420"/>
      </w:pPr>
      <w:rPr>
        <w:rFonts w:hint="default"/>
      </w:rPr>
    </w:lvl>
    <w:lvl w:ilvl="3" w:tentative="0">
      <w:start w:val="1"/>
      <w:numFmt w:val="decimal"/>
      <w:lvlText w:val="%4)"/>
      <w:lvlJc w:val="left"/>
      <w:pPr>
        <w:tabs>
          <w:tab w:val="left" w:pos="1260"/>
        </w:tabs>
        <w:ind w:left="1260" w:hanging="420"/>
      </w:pPr>
      <w:rPr>
        <w:rFonts w:hint="default"/>
      </w:rPr>
    </w:lvl>
    <w:lvl w:ilvl="4" w:tentative="0">
      <w:start w:val="1"/>
      <w:numFmt w:val="lowerLetter"/>
      <w:lvlText w:val="%5."/>
      <w:lvlJc w:val="left"/>
      <w:pPr>
        <w:tabs>
          <w:tab w:val="left" w:pos="1680"/>
        </w:tabs>
        <w:ind w:left="1680" w:hanging="420"/>
      </w:pPr>
      <w:rPr>
        <w:rFonts w:hint="default"/>
      </w:rPr>
    </w:lvl>
    <w:lvl w:ilvl="5" w:tentative="0">
      <w:start w:val="1"/>
      <w:numFmt w:val="lowerLetter"/>
      <w:lvlText w:val="%6)"/>
      <w:lvlJc w:val="left"/>
      <w:pPr>
        <w:tabs>
          <w:tab w:val="left" w:pos="2100"/>
        </w:tabs>
        <w:ind w:left="2100" w:hanging="420"/>
      </w:pPr>
      <w:rPr>
        <w:rFonts w:hint="default"/>
      </w:rPr>
    </w:lvl>
    <w:lvl w:ilvl="6" w:tentative="0">
      <w:start w:val="1"/>
      <w:numFmt w:val="lowerRoman"/>
      <w:lvlText w:val="%7."/>
      <w:lvlJc w:val="left"/>
      <w:pPr>
        <w:tabs>
          <w:tab w:val="left" w:pos="2520"/>
        </w:tabs>
        <w:ind w:left="2520" w:hanging="420"/>
      </w:pPr>
      <w:rPr>
        <w:rFonts w:hint="default"/>
      </w:rPr>
    </w:lvl>
    <w:lvl w:ilvl="7" w:tentative="0">
      <w:start w:val="1"/>
      <w:numFmt w:val="lowerRoman"/>
      <w:lvlText w:val="%8)"/>
      <w:lvlJc w:val="left"/>
      <w:pPr>
        <w:tabs>
          <w:tab w:val="left" w:pos="2940"/>
        </w:tabs>
        <w:ind w:left="2940" w:hanging="420"/>
      </w:pPr>
      <w:rPr>
        <w:rFonts w:hint="default"/>
      </w:rPr>
    </w:lvl>
    <w:lvl w:ilvl="8" w:tentative="0">
      <w:start w:val="1"/>
      <w:numFmt w:val="lowerLetter"/>
      <w:lvlText w:val="%9."/>
      <w:lvlJc w:val="left"/>
      <w:pPr>
        <w:tabs>
          <w:tab w:val="left" w:pos="3360"/>
        </w:tabs>
        <w:ind w:left="3360" w:hanging="420"/>
      </w:pPr>
      <w:rPr>
        <w:rFonts w:hint="default"/>
      </w:rPr>
    </w:lvl>
  </w:abstractNum>
  <w:abstractNum w:abstractNumId="21">
    <w:nsid w:val="C12E9AFD"/>
    <w:multiLevelType w:val="singleLevel"/>
    <w:tmpl w:val="C12E9AFD"/>
    <w:lvl w:ilvl="0" w:tentative="0">
      <w:start w:val="1"/>
      <w:numFmt w:val="decimal"/>
      <w:suff w:val="nothing"/>
      <w:lvlText w:val="%1）"/>
      <w:lvlJc w:val="left"/>
    </w:lvl>
  </w:abstractNum>
  <w:abstractNum w:abstractNumId="22">
    <w:nsid w:val="C5CAF14A"/>
    <w:multiLevelType w:val="singleLevel"/>
    <w:tmpl w:val="C5CAF14A"/>
    <w:lvl w:ilvl="0" w:tentative="0">
      <w:start w:val="1"/>
      <w:numFmt w:val="decimal"/>
      <w:lvlText w:val="%1)"/>
      <w:lvlJc w:val="left"/>
      <w:pPr>
        <w:ind w:left="425" w:hanging="425"/>
      </w:pPr>
      <w:rPr>
        <w:rFonts w:hint="default"/>
      </w:rPr>
    </w:lvl>
  </w:abstractNum>
  <w:abstractNum w:abstractNumId="23">
    <w:nsid w:val="C73D0130"/>
    <w:multiLevelType w:val="singleLevel"/>
    <w:tmpl w:val="C73D0130"/>
    <w:lvl w:ilvl="0" w:tentative="0">
      <w:start w:val="1"/>
      <w:numFmt w:val="decimal"/>
      <w:suff w:val="nothing"/>
      <w:lvlText w:val="%1）"/>
      <w:lvlJc w:val="left"/>
    </w:lvl>
  </w:abstractNum>
  <w:abstractNum w:abstractNumId="24">
    <w:nsid w:val="C7B7FB87"/>
    <w:multiLevelType w:val="singleLevel"/>
    <w:tmpl w:val="C7B7FB87"/>
    <w:lvl w:ilvl="0" w:tentative="0">
      <w:start w:val="1"/>
      <w:numFmt w:val="decimal"/>
      <w:lvlText w:val="%1)"/>
      <w:lvlJc w:val="left"/>
      <w:pPr>
        <w:ind w:left="425" w:hanging="425"/>
      </w:pPr>
      <w:rPr>
        <w:rFonts w:hint="default"/>
      </w:rPr>
    </w:lvl>
  </w:abstractNum>
  <w:abstractNum w:abstractNumId="25">
    <w:nsid w:val="C7EE3158"/>
    <w:multiLevelType w:val="singleLevel"/>
    <w:tmpl w:val="C7EE3158"/>
    <w:lvl w:ilvl="0" w:tentative="0">
      <w:start w:val="1"/>
      <w:numFmt w:val="decimal"/>
      <w:suff w:val="nothing"/>
      <w:lvlText w:val="%1）"/>
      <w:lvlJc w:val="left"/>
    </w:lvl>
  </w:abstractNum>
  <w:abstractNum w:abstractNumId="26">
    <w:nsid w:val="CAC14669"/>
    <w:multiLevelType w:val="multilevel"/>
    <w:tmpl w:val="CAC14669"/>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7">
    <w:nsid w:val="CBBF01B0"/>
    <w:multiLevelType w:val="multilevel"/>
    <w:tmpl w:val="CBBF01B0"/>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28">
    <w:nsid w:val="D60A7308"/>
    <w:multiLevelType w:val="multilevel"/>
    <w:tmpl w:val="D60A7308"/>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9">
    <w:nsid w:val="D6B06941"/>
    <w:multiLevelType w:val="singleLevel"/>
    <w:tmpl w:val="D6B06941"/>
    <w:lvl w:ilvl="0" w:tentative="0">
      <w:start w:val="1"/>
      <w:numFmt w:val="decimal"/>
      <w:suff w:val="nothing"/>
      <w:lvlText w:val="%1）"/>
      <w:lvlJc w:val="left"/>
    </w:lvl>
  </w:abstractNum>
  <w:abstractNum w:abstractNumId="30">
    <w:nsid w:val="D84481D8"/>
    <w:multiLevelType w:val="singleLevel"/>
    <w:tmpl w:val="D84481D8"/>
    <w:lvl w:ilvl="0" w:tentative="0">
      <w:start w:val="1"/>
      <w:numFmt w:val="decimal"/>
      <w:lvlText w:val="%1)"/>
      <w:lvlJc w:val="left"/>
      <w:pPr>
        <w:ind w:left="850" w:hanging="425"/>
      </w:pPr>
      <w:rPr>
        <w:rFonts w:hint="default"/>
        <w:i w:val="0"/>
      </w:rPr>
    </w:lvl>
  </w:abstractNum>
  <w:abstractNum w:abstractNumId="31">
    <w:nsid w:val="D8854953"/>
    <w:multiLevelType w:val="singleLevel"/>
    <w:tmpl w:val="D8854953"/>
    <w:lvl w:ilvl="0" w:tentative="0">
      <w:start w:val="1"/>
      <w:numFmt w:val="decimal"/>
      <w:lvlText w:val="%1)"/>
      <w:lvlJc w:val="left"/>
      <w:pPr>
        <w:ind w:left="425" w:hanging="425"/>
      </w:pPr>
      <w:rPr>
        <w:rFonts w:hint="default"/>
      </w:rPr>
    </w:lvl>
  </w:abstractNum>
  <w:abstractNum w:abstractNumId="32">
    <w:nsid w:val="D903202D"/>
    <w:multiLevelType w:val="singleLevel"/>
    <w:tmpl w:val="D903202D"/>
    <w:lvl w:ilvl="0" w:tentative="0">
      <w:start w:val="1"/>
      <w:numFmt w:val="decimal"/>
      <w:suff w:val="nothing"/>
      <w:lvlText w:val="%1）"/>
      <w:lvlJc w:val="left"/>
    </w:lvl>
  </w:abstractNum>
  <w:abstractNum w:abstractNumId="33">
    <w:nsid w:val="D98A2ED6"/>
    <w:multiLevelType w:val="singleLevel"/>
    <w:tmpl w:val="D98A2ED6"/>
    <w:lvl w:ilvl="0" w:tentative="0">
      <w:start w:val="1"/>
      <w:numFmt w:val="decimal"/>
      <w:lvlText w:val="%1)"/>
      <w:lvlJc w:val="left"/>
      <w:pPr>
        <w:ind w:left="850" w:hanging="425"/>
      </w:pPr>
      <w:rPr>
        <w:rFonts w:hint="default"/>
        <w:i w:val="0"/>
      </w:rPr>
    </w:lvl>
  </w:abstractNum>
  <w:abstractNum w:abstractNumId="34">
    <w:nsid w:val="DEC95B82"/>
    <w:multiLevelType w:val="singleLevel"/>
    <w:tmpl w:val="DEC95B82"/>
    <w:lvl w:ilvl="0" w:tentative="0">
      <w:start w:val="1"/>
      <w:numFmt w:val="decimal"/>
      <w:lvlText w:val="%1)"/>
      <w:lvlJc w:val="left"/>
      <w:pPr>
        <w:ind w:left="425" w:hanging="425"/>
      </w:pPr>
      <w:rPr>
        <w:rFonts w:hint="default"/>
      </w:rPr>
    </w:lvl>
  </w:abstractNum>
  <w:abstractNum w:abstractNumId="35">
    <w:nsid w:val="E3061DF3"/>
    <w:multiLevelType w:val="multilevel"/>
    <w:tmpl w:val="E3061DF3"/>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36">
    <w:nsid w:val="E606E480"/>
    <w:multiLevelType w:val="multilevel"/>
    <w:tmpl w:val="E606E480"/>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37">
    <w:nsid w:val="EAA0D155"/>
    <w:multiLevelType w:val="singleLevel"/>
    <w:tmpl w:val="EAA0D155"/>
    <w:lvl w:ilvl="0" w:tentative="0">
      <w:start w:val="1"/>
      <w:numFmt w:val="decimal"/>
      <w:lvlText w:val="%1."/>
      <w:lvlJc w:val="left"/>
      <w:pPr>
        <w:ind w:left="425" w:hanging="425"/>
      </w:pPr>
      <w:rPr>
        <w:rFonts w:hint="default"/>
      </w:rPr>
    </w:lvl>
  </w:abstractNum>
  <w:abstractNum w:abstractNumId="38">
    <w:nsid w:val="EECE311D"/>
    <w:multiLevelType w:val="singleLevel"/>
    <w:tmpl w:val="EECE311D"/>
    <w:lvl w:ilvl="0" w:tentative="0">
      <w:start w:val="1"/>
      <w:numFmt w:val="decimal"/>
      <w:lvlText w:val="%1)"/>
      <w:lvlJc w:val="left"/>
      <w:pPr>
        <w:ind w:left="425" w:hanging="425"/>
      </w:pPr>
      <w:rPr>
        <w:rFonts w:hint="default"/>
      </w:rPr>
    </w:lvl>
  </w:abstractNum>
  <w:abstractNum w:abstractNumId="39">
    <w:nsid w:val="F1A8A529"/>
    <w:multiLevelType w:val="singleLevel"/>
    <w:tmpl w:val="F1A8A529"/>
    <w:lvl w:ilvl="0" w:tentative="0">
      <w:start w:val="1"/>
      <w:numFmt w:val="decimal"/>
      <w:lvlText w:val="%1)"/>
      <w:lvlJc w:val="left"/>
      <w:pPr>
        <w:ind w:left="425" w:hanging="425"/>
      </w:pPr>
      <w:rPr>
        <w:rFonts w:hint="default"/>
      </w:rPr>
    </w:lvl>
  </w:abstractNum>
  <w:abstractNum w:abstractNumId="40">
    <w:nsid w:val="FD9BA8F8"/>
    <w:multiLevelType w:val="singleLevel"/>
    <w:tmpl w:val="FD9BA8F8"/>
    <w:lvl w:ilvl="0" w:tentative="0">
      <w:start w:val="1"/>
      <w:numFmt w:val="decimal"/>
      <w:lvlText w:val="%1)"/>
      <w:lvlJc w:val="left"/>
      <w:pPr>
        <w:tabs>
          <w:tab w:val="left" w:pos="420"/>
        </w:tabs>
        <w:ind w:left="845" w:hanging="425"/>
      </w:pPr>
      <w:rPr>
        <w:rFonts w:hint="default"/>
      </w:rPr>
    </w:lvl>
  </w:abstractNum>
  <w:abstractNum w:abstractNumId="41">
    <w:nsid w:val="00000002"/>
    <w:multiLevelType w:val="singleLevel"/>
    <w:tmpl w:val="00000002"/>
    <w:lvl w:ilvl="0" w:tentative="0">
      <w:start w:val="1"/>
      <w:numFmt w:val="decimal"/>
      <w:lvlText w:val="%1."/>
      <w:lvlJc w:val="left"/>
      <w:pPr>
        <w:ind w:left="425" w:hanging="425"/>
      </w:pPr>
      <w:rPr>
        <w:rFonts w:hint="default"/>
      </w:rPr>
    </w:lvl>
  </w:abstractNum>
  <w:abstractNum w:abstractNumId="42">
    <w:nsid w:val="00257F88"/>
    <w:multiLevelType w:val="singleLevel"/>
    <w:tmpl w:val="00257F88"/>
    <w:lvl w:ilvl="0" w:tentative="0">
      <w:start w:val="1"/>
      <w:numFmt w:val="decimal"/>
      <w:suff w:val="nothing"/>
      <w:lvlText w:val="%1）"/>
      <w:lvlJc w:val="left"/>
    </w:lvl>
  </w:abstractNum>
  <w:abstractNum w:abstractNumId="43">
    <w:nsid w:val="0475C59E"/>
    <w:multiLevelType w:val="multilevel"/>
    <w:tmpl w:val="0475C59E"/>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44">
    <w:nsid w:val="0696C710"/>
    <w:multiLevelType w:val="singleLevel"/>
    <w:tmpl w:val="0696C710"/>
    <w:lvl w:ilvl="0" w:tentative="0">
      <w:start w:val="1"/>
      <w:numFmt w:val="decimal"/>
      <w:lvlText w:val="%1)"/>
      <w:lvlJc w:val="left"/>
      <w:pPr>
        <w:ind w:left="425" w:hanging="425"/>
      </w:pPr>
      <w:rPr>
        <w:rFonts w:hint="default"/>
      </w:rPr>
    </w:lvl>
  </w:abstractNum>
  <w:abstractNum w:abstractNumId="45">
    <w:nsid w:val="099B3956"/>
    <w:multiLevelType w:val="singleLevel"/>
    <w:tmpl w:val="099B3956"/>
    <w:lvl w:ilvl="0" w:tentative="0">
      <w:start w:val="1"/>
      <w:numFmt w:val="decimal"/>
      <w:lvlText w:val="%1)"/>
      <w:lvlJc w:val="left"/>
      <w:pPr>
        <w:ind w:left="425" w:hanging="425"/>
      </w:pPr>
      <w:rPr>
        <w:rFonts w:hint="default"/>
      </w:rPr>
    </w:lvl>
  </w:abstractNum>
  <w:abstractNum w:abstractNumId="46">
    <w:nsid w:val="0A695C9F"/>
    <w:multiLevelType w:val="multilevel"/>
    <w:tmpl w:val="0A695C9F"/>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7">
    <w:nsid w:val="0C8628CF"/>
    <w:multiLevelType w:val="singleLevel"/>
    <w:tmpl w:val="0C8628CF"/>
    <w:lvl w:ilvl="0" w:tentative="0">
      <w:start w:val="1"/>
      <w:numFmt w:val="decimal"/>
      <w:suff w:val="nothing"/>
      <w:lvlText w:val="%1）"/>
      <w:lvlJc w:val="left"/>
    </w:lvl>
  </w:abstractNum>
  <w:abstractNum w:abstractNumId="48">
    <w:nsid w:val="0DE28A74"/>
    <w:multiLevelType w:val="singleLevel"/>
    <w:tmpl w:val="0DE28A74"/>
    <w:lvl w:ilvl="0" w:tentative="0">
      <w:start w:val="1"/>
      <w:numFmt w:val="decimal"/>
      <w:suff w:val="nothing"/>
      <w:lvlText w:val="%1）"/>
      <w:lvlJc w:val="left"/>
    </w:lvl>
  </w:abstractNum>
  <w:abstractNum w:abstractNumId="49">
    <w:nsid w:val="0EF3A1E6"/>
    <w:multiLevelType w:val="singleLevel"/>
    <w:tmpl w:val="0EF3A1E6"/>
    <w:lvl w:ilvl="0" w:tentative="0">
      <w:start w:val="1"/>
      <w:numFmt w:val="decimal"/>
      <w:lvlText w:val="%1)"/>
      <w:lvlJc w:val="left"/>
      <w:pPr>
        <w:ind w:left="425" w:hanging="425"/>
      </w:pPr>
      <w:rPr>
        <w:rFonts w:hint="default"/>
      </w:rPr>
    </w:lvl>
  </w:abstractNum>
  <w:abstractNum w:abstractNumId="50">
    <w:nsid w:val="0EFB9694"/>
    <w:multiLevelType w:val="singleLevel"/>
    <w:tmpl w:val="0EFB9694"/>
    <w:lvl w:ilvl="0" w:tentative="0">
      <w:start w:val="1"/>
      <w:numFmt w:val="decimal"/>
      <w:lvlText w:val="%1)"/>
      <w:lvlJc w:val="left"/>
      <w:pPr>
        <w:ind w:left="425" w:hanging="425"/>
      </w:pPr>
      <w:rPr>
        <w:rFonts w:hint="default"/>
      </w:rPr>
    </w:lvl>
  </w:abstractNum>
  <w:abstractNum w:abstractNumId="51">
    <w:nsid w:val="13AB4A6A"/>
    <w:multiLevelType w:val="multilevel"/>
    <w:tmpl w:val="13AB4A6A"/>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2">
    <w:nsid w:val="16A954FE"/>
    <w:multiLevelType w:val="singleLevel"/>
    <w:tmpl w:val="16A954FE"/>
    <w:lvl w:ilvl="0" w:tentative="0">
      <w:start w:val="1"/>
      <w:numFmt w:val="decimal"/>
      <w:lvlText w:val="%1)"/>
      <w:lvlJc w:val="left"/>
      <w:pPr>
        <w:ind w:left="425" w:hanging="425"/>
      </w:pPr>
      <w:rPr>
        <w:rFonts w:hint="default"/>
      </w:rPr>
    </w:lvl>
  </w:abstractNum>
  <w:abstractNum w:abstractNumId="53">
    <w:nsid w:val="1801DE9F"/>
    <w:multiLevelType w:val="multilevel"/>
    <w:tmpl w:val="1801DE9F"/>
    <w:lvl w:ilvl="0" w:tentative="0">
      <w:start w:val="1"/>
      <w:numFmt w:val="decimal"/>
      <w:lvlText w:val="%1."/>
      <w:lvlJc w:val="left"/>
      <w:pPr>
        <w:tabs>
          <w:tab w:val="left" w:pos="-420"/>
        </w:tabs>
        <w:ind w:left="5" w:hanging="425"/>
      </w:pPr>
      <w:rPr>
        <w:rFonts w:hint="default"/>
      </w:rPr>
    </w:lvl>
    <w:lvl w:ilvl="1" w:tentative="0">
      <w:start w:val="1"/>
      <w:numFmt w:val="decimal"/>
      <w:lvlText w:val="(%2)"/>
      <w:lvlJc w:val="left"/>
      <w:pPr>
        <w:tabs>
          <w:tab w:val="left" w:pos="420"/>
        </w:tabs>
        <w:ind w:left="420" w:hanging="420"/>
      </w:pPr>
      <w:rPr>
        <w:rFonts w:hint="default"/>
      </w:rPr>
    </w:lvl>
    <w:lvl w:ilvl="2" w:tentative="0">
      <w:start w:val="1"/>
      <w:numFmt w:val="decimalEnclosedCircleChinese"/>
      <w:lvlText w:val="%3"/>
      <w:lvlJc w:val="left"/>
      <w:pPr>
        <w:tabs>
          <w:tab w:val="left" w:pos="840"/>
        </w:tabs>
        <w:ind w:left="840" w:hanging="420"/>
      </w:pPr>
      <w:rPr>
        <w:rFonts w:hint="default"/>
      </w:rPr>
    </w:lvl>
    <w:lvl w:ilvl="3" w:tentative="0">
      <w:start w:val="1"/>
      <w:numFmt w:val="decimal"/>
      <w:lvlText w:val="%4)"/>
      <w:lvlJc w:val="left"/>
      <w:pPr>
        <w:tabs>
          <w:tab w:val="left" w:pos="1260"/>
        </w:tabs>
        <w:ind w:left="1260" w:hanging="420"/>
      </w:pPr>
      <w:rPr>
        <w:rFonts w:hint="default"/>
      </w:rPr>
    </w:lvl>
    <w:lvl w:ilvl="4" w:tentative="0">
      <w:start w:val="1"/>
      <w:numFmt w:val="lowerLetter"/>
      <w:lvlText w:val="%5."/>
      <w:lvlJc w:val="left"/>
      <w:pPr>
        <w:tabs>
          <w:tab w:val="left" w:pos="1680"/>
        </w:tabs>
        <w:ind w:left="1680" w:hanging="420"/>
      </w:pPr>
      <w:rPr>
        <w:rFonts w:hint="default"/>
      </w:rPr>
    </w:lvl>
    <w:lvl w:ilvl="5" w:tentative="0">
      <w:start w:val="1"/>
      <w:numFmt w:val="lowerLetter"/>
      <w:lvlText w:val="%6)"/>
      <w:lvlJc w:val="left"/>
      <w:pPr>
        <w:tabs>
          <w:tab w:val="left" w:pos="2100"/>
        </w:tabs>
        <w:ind w:left="2100" w:hanging="420"/>
      </w:pPr>
      <w:rPr>
        <w:rFonts w:hint="default"/>
      </w:rPr>
    </w:lvl>
    <w:lvl w:ilvl="6" w:tentative="0">
      <w:start w:val="1"/>
      <w:numFmt w:val="lowerRoman"/>
      <w:lvlText w:val="%7."/>
      <w:lvlJc w:val="left"/>
      <w:pPr>
        <w:tabs>
          <w:tab w:val="left" w:pos="2520"/>
        </w:tabs>
        <w:ind w:left="2520" w:hanging="420"/>
      </w:pPr>
      <w:rPr>
        <w:rFonts w:hint="default"/>
      </w:rPr>
    </w:lvl>
    <w:lvl w:ilvl="7" w:tentative="0">
      <w:start w:val="1"/>
      <w:numFmt w:val="lowerRoman"/>
      <w:lvlText w:val="%8)"/>
      <w:lvlJc w:val="left"/>
      <w:pPr>
        <w:tabs>
          <w:tab w:val="left" w:pos="2940"/>
        </w:tabs>
        <w:ind w:left="2940" w:hanging="420"/>
      </w:pPr>
      <w:rPr>
        <w:rFonts w:hint="default"/>
      </w:rPr>
    </w:lvl>
    <w:lvl w:ilvl="8" w:tentative="0">
      <w:start w:val="1"/>
      <w:numFmt w:val="lowerLetter"/>
      <w:lvlText w:val="%9."/>
      <w:lvlJc w:val="left"/>
      <w:pPr>
        <w:tabs>
          <w:tab w:val="left" w:pos="3360"/>
        </w:tabs>
        <w:ind w:left="3360" w:hanging="420"/>
      </w:pPr>
      <w:rPr>
        <w:rFonts w:hint="default"/>
      </w:rPr>
    </w:lvl>
  </w:abstractNum>
  <w:abstractNum w:abstractNumId="54">
    <w:nsid w:val="1A3D7171"/>
    <w:multiLevelType w:val="singleLevel"/>
    <w:tmpl w:val="1A3D7171"/>
    <w:lvl w:ilvl="0" w:tentative="0">
      <w:start w:val="1"/>
      <w:numFmt w:val="decimal"/>
      <w:lvlText w:val="%1)"/>
      <w:lvlJc w:val="left"/>
      <w:pPr>
        <w:ind w:left="425" w:hanging="425"/>
      </w:pPr>
      <w:rPr>
        <w:rFonts w:hint="default"/>
      </w:rPr>
    </w:lvl>
  </w:abstractNum>
  <w:abstractNum w:abstractNumId="55">
    <w:nsid w:val="1AEF0A06"/>
    <w:multiLevelType w:val="multilevel"/>
    <w:tmpl w:val="1AEF0A06"/>
    <w:lvl w:ilvl="0" w:tentative="0">
      <w:start w:val="1"/>
      <w:numFmt w:val="decimal"/>
      <w:lvlText w:val="%1."/>
      <w:lvlJc w:val="left"/>
      <w:pPr>
        <w:tabs>
          <w:tab w:val="left" w:pos="-420"/>
        </w:tabs>
        <w:ind w:left="5" w:hanging="425"/>
      </w:pPr>
      <w:rPr>
        <w:rFonts w:hint="default"/>
      </w:rPr>
    </w:lvl>
    <w:lvl w:ilvl="1" w:tentative="0">
      <w:start w:val="1"/>
      <w:numFmt w:val="decimal"/>
      <w:lvlText w:val="(%2)"/>
      <w:lvlJc w:val="left"/>
      <w:pPr>
        <w:tabs>
          <w:tab w:val="left" w:pos="420"/>
        </w:tabs>
        <w:ind w:left="420" w:hanging="420"/>
      </w:pPr>
      <w:rPr>
        <w:rFonts w:hint="default"/>
      </w:rPr>
    </w:lvl>
    <w:lvl w:ilvl="2" w:tentative="0">
      <w:start w:val="1"/>
      <w:numFmt w:val="decimalEnclosedCircleChinese"/>
      <w:lvlText w:val="%3"/>
      <w:lvlJc w:val="left"/>
      <w:pPr>
        <w:tabs>
          <w:tab w:val="left" w:pos="840"/>
        </w:tabs>
        <w:ind w:left="840" w:hanging="420"/>
      </w:pPr>
      <w:rPr>
        <w:rFonts w:hint="default"/>
      </w:rPr>
    </w:lvl>
    <w:lvl w:ilvl="3" w:tentative="0">
      <w:start w:val="1"/>
      <w:numFmt w:val="decimal"/>
      <w:lvlText w:val="%4)"/>
      <w:lvlJc w:val="left"/>
      <w:pPr>
        <w:tabs>
          <w:tab w:val="left" w:pos="1260"/>
        </w:tabs>
        <w:ind w:left="1260" w:hanging="420"/>
      </w:pPr>
      <w:rPr>
        <w:rFonts w:hint="default"/>
      </w:rPr>
    </w:lvl>
    <w:lvl w:ilvl="4" w:tentative="0">
      <w:start w:val="1"/>
      <w:numFmt w:val="lowerLetter"/>
      <w:lvlText w:val="%5."/>
      <w:lvlJc w:val="left"/>
      <w:pPr>
        <w:tabs>
          <w:tab w:val="left" w:pos="1680"/>
        </w:tabs>
        <w:ind w:left="1680" w:hanging="420"/>
      </w:pPr>
      <w:rPr>
        <w:rFonts w:hint="default"/>
      </w:rPr>
    </w:lvl>
    <w:lvl w:ilvl="5" w:tentative="0">
      <w:start w:val="1"/>
      <w:numFmt w:val="lowerLetter"/>
      <w:lvlText w:val="%6)"/>
      <w:lvlJc w:val="left"/>
      <w:pPr>
        <w:tabs>
          <w:tab w:val="left" w:pos="2100"/>
        </w:tabs>
        <w:ind w:left="2100" w:hanging="420"/>
      </w:pPr>
      <w:rPr>
        <w:rFonts w:hint="default"/>
      </w:rPr>
    </w:lvl>
    <w:lvl w:ilvl="6" w:tentative="0">
      <w:start w:val="1"/>
      <w:numFmt w:val="lowerRoman"/>
      <w:lvlText w:val="%7."/>
      <w:lvlJc w:val="left"/>
      <w:pPr>
        <w:tabs>
          <w:tab w:val="left" w:pos="2520"/>
        </w:tabs>
        <w:ind w:left="2520" w:hanging="420"/>
      </w:pPr>
      <w:rPr>
        <w:rFonts w:hint="default"/>
      </w:rPr>
    </w:lvl>
    <w:lvl w:ilvl="7" w:tentative="0">
      <w:start w:val="1"/>
      <w:numFmt w:val="lowerRoman"/>
      <w:lvlText w:val="%8)"/>
      <w:lvlJc w:val="left"/>
      <w:pPr>
        <w:tabs>
          <w:tab w:val="left" w:pos="2940"/>
        </w:tabs>
        <w:ind w:left="2940" w:hanging="420"/>
      </w:pPr>
      <w:rPr>
        <w:rFonts w:hint="default"/>
      </w:rPr>
    </w:lvl>
    <w:lvl w:ilvl="8" w:tentative="0">
      <w:start w:val="1"/>
      <w:numFmt w:val="lowerLetter"/>
      <w:lvlText w:val="%9."/>
      <w:lvlJc w:val="left"/>
      <w:pPr>
        <w:tabs>
          <w:tab w:val="left" w:pos="3360"/>
        </w:tabs>
        <w:ind w:left="3360" w:hanging="420"/>
      </w:pPr>
      <w:rPr>
        <w:rFonts w:hint="default"/>
      </w:rPr>
    </w:lvl>
  </w:abstractNum>
  <w:abstractNum w:abstractNumId="56">
    <w:nsid w:val="1C274438"/>
    <w:multiLevelType w:val="multilevel"/>
    <w:tmpl w:val="1C274438"/>
    <w:lvl w:ilvl="0" w:tentative="0">
      <w:start w:val="1"/>
      <w:numFmt w:val="bullet"/>
      <w:lvlText w:val=""/>
      <w:lvlJc w:val="left"/>
      <w:pPr>
        <w:ind w:left="900" w:hanging="420"/>
      </w:pPr>
      <w:rPr>
        <w:rFonts w:hint="default" w:ascii="Wingdings" w:hAnsi="Wingding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1EB252C2"/>
    <w:multiLevelType w:val="multilevel"/>
    <w:tmpl w:val="1EB252C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8">
    <w:nsid w:val="1F009861"/>
    <w:multiLevelType w:val="singleLevel"/>
    <w:tmpl w:val="1F009861"/>
    <w:lvl w:ilvl="0" w:tentative="0">
      <w:start w:val="1"/>
      <w:numFmt w:val="decimal"/>
      <w:lvlText w:val="%1)"/>
      <w:lvlJc w:val="left"/>
      <w:pPr>
        <w:ind w:left="425" w:hanging="425"/>
      </w:pPr>
      <w:rPr>
        <w:rFonts w:hint="default"/>
      </w:rPr>
    </w:lvl>
  </w:abstractNum>
  <w:abstractNum w:abstractNumId="59">
    <w:nsid w:val="2014B89F"/>
    <w:multiLevelType w:val="multilevel"/>
    <w:tmpl w:val="2014B89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0">
    <w:nsid w:val="20FC2F8E"/>
    <w:multiLevelType w:val="singleLevel"/>
    <w:tmpl w:val="20FC2F8E"/>
    <w:lvl w:ilvl="0" w:tentative="0">
      <w:start w:val="1"/>
      <w:numFmt w:val="decimal"/>
      <w:lvlText w:val="%1)"/>
      <w:lvlJc w:val="left"/>
      <w:pPr>
        <w:tabs>
          <w:tab w:val="left" w:pos="420"/>
        </w:tabs>
        <w:ind w:left="845" w:hanging="425"/>
      </w:pPr>
      <w:rPr>
        <w:rFonts w:hint="default"/>
      </w:rPr>
    </w:lvl>
  </w:abstractNum>
  <w:abstractNum w:abstractNumId="61">
    <w:nsid w:val="21313821"/>
    <w:multiLevelType w:val="singleLevel"/>
    <w:tmpl w:val="21313821"/>
    <w:lvl w:ilvl="0" w:tentative="0">
      <w:start w:val="1"/>
      <w:numFmt w:val="decimal"/>
      <w:lvlText w:val="%1)"/>
      <w:lvlJc w:val="left"/>
      <w:pPr>
        <w:ind w:left="850" w:hanging="425"/>
      </w:pPr>
      <w:rPr>
        <w:rFonts w:hint="default"/>
        <w:i w:val="0"/>
      </w:rPr>
    </w:lvl>
  </w:abstractNum>
  <w:abstractNum w:abstractNumId="62">
    <w:nsid w:val="23CB481A"/>
    <w:multiLevelType w:val="singleLevel"/>
    <w:tmpl w:val="23CB481A"/>
    <w:lvl w:ilvl="0" w:tentative="0">
      <w:start w:val="1"/>
      <w:numFmt w:val="decimal"/>
      <w:suff w:val="nothing"/>
      <w:lvlText w:val="%1）"/>
      <w:lvlJc w:val="left"/>
    </w:lvl>
  </w:abstractNum>
  <w:abstractNum w:abstractNumId="63">
    <w:nsid w:val="2CA25BD2"/>
    <w:multiLevelType w:val="singleLevel"/>
    <w:tmpl w:val="2CA25BD2"/>
    <w:lvl w:ilvl="0" w:tentative="0">
      <w:start w:val="1"/>
      <w:numFmt w:val="decimal"/>
      <w:lvlText w:val="%1)"/>
      <w:lvlJc w:val="left"/>
      <w:pPr>
        <w:ind w:left="850" w:hanging="425"/>
      </w:pPr>
      <w:rPr>
        <w:rFonts w:hint="default"/>
        <w:i w:val="0"/>
      </w:rPr>
    </w:lvl>
  </w:abstractNum>
  <w:abstractNum w:abstractNumId="64">
    <w:nsid w:val="38D5B146"/>
    <w:multiLevelType w:val="singleLevel"/>
    <w:tmpl w:val="38D5B146"/>
    <w:lvl w:ilvl="0" w:tentative="0">
      <w:start w:val="1"/>
      <w:numFmt w:val="decimal"/>
      <w:lvlText w:val="%1)"/>
      <w:lvlJc w:val="left"/>
      <w:pPr>
        <w:ind w:left="425" w:hanging="425"/>
      </w:pPr>
      <w:rPr>
        <w:rFonts w:hint="default"/>
      </w:rPr>
    </w:lvl>
  </w:abstractNum>
  <w:abstractNum w:abstractNumId="65">
    <w:nsid w:val="3C141C11"/>
    <w:multiLevelType w:val="multilevel"/>
    <w:tmpl w:val="3C141C11"/>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6">
    <w:nsid w:val="3D7A261E"/>
    <w:multiLevelType w:val="singleLevel"/>
    <w:tmpl w:val="3D7A261E"/>
    <w:lvl w:ilvl="0" w:tentative="0">
      <w:start w:val="1"/>
      <w:numFmt w:val="decimal"/>
      <w:suff w:val="nothing"/>
      <w:lvlText w:val="%1）"/>
      <w:lvlJc w:val="left"/>
    </w:lvl>
  </w:abstractNum>
  <w:abstractNum w:abstractNumId="67">
    <w:nsid w:val="408C5231"/>
    <w:multiLevelType w:val="multilevel"/>
    <w:tmpl w:val="408C5231"/>
    <w:lvl w:ilvl="0" w:tentative="0">
      <w:start w:val="1"/>
      <w:numFmt w:val="decimal"/>
      <w:lvlText w:val="%1."/>
      <w:lvlJc w:val="left"/>
      <w:pPr>
        <w:tabs>
          <w:tab w:val="left" w:pos="-420"/>
        </w:tabs>
        <w:ind w:left="5" w:hanging="425"/>
      </w:pPr>
      <w:rPr>
        <w:rFonts w:hint="default"/>
      </w:rPr>
    </w:lvl>
    <w:lvl w:ilvl="1" w:tentative="0">
      <w:start w:val="1"/>
      <w:numFmt w:val="decimal"/>
      <w:lvlText w:val="(%2)"/>
      <w:lvlJc w:val="left"/>
      <w:pPr>
        <w:tabs>
          <w:tab w:val="left" w:pos="420"/>
        </w:tabs>
        <w:ind w:left="420" w:hanging="420"/>
      </w:pPr>
      <w:rPr>
        <w:rFonts w:hint="default"/>
      </w:rPr>
    </w:lvl>
    <w:lvl w:ilvl="2" w:tentative="0">
      <w:start w:val="1"/>
      <w:numFmt w:val="decimalEnclosedCircleChinese"/>
      <w:lvlText w:val="%3"/>
      <w:lvlJc w:val="left"/>
      <w:pPr>
        <w:tabs>
          <w:tab w:val="left" w:pos="840"/>
        </w:tabs>
        <w:ind w:left="840" w:hanging="420"/>
      </w:pPr>
      <w:rPr>
        <w:rFonts w:hint="default"/>
      </w:rPr>
    </w:lvl>
    <w:lvl w:ilvl="3" w:tentative="0">
      <w:start w:val="1"/>
      <w:numFmt w:val="decimal"/>
      <w:lvlText w:val="%4)"/>
      <w:lvlJc w:val="left"/>
      <w:pPr>
        <w:tabs>
          <w:tab w:val="left" w:pos="1260"/>
        </w:tabs>
        <w:ind w:left="1260" w:hanging="420"/>
      </w:pPr>
      <w:rPr>
        <w:rFonts w:hint="default"/>
      </w:rPr>
    </w:lvl>
    <w:lvl w:ilvl="4" w:tentative="0">
      <w:start w:val="1"/>
      <w:numFmt w:val="lowerLetter"/>
      <w:lvlText w:val="%5."/>
      <w:lvlJc w:val="left"/>
      <w:pPr>
        <w:tabs>
          <w:tab w:val="left" w:pos="1680"/>
        </w:tabs>
        <w:ind w:left="1680" w:hanging="420"/>
      </w:pPr>
      <w:rPr>
        <w:rFonts w:hint="default"/>
      </w:rPr>
    </w:lvl>
    <w:lvl w:ilvl="5" w:tentative="0">
      <w:start w:val="1"/>
      <w:numFmt w:val="lowerLetter"/>
      <w:lvlText w:val="%6)"/>
      <w:lvlJc w:val="left"/>
      <w:pPr>
        <w:tabs>
          <w:tab w:val="left" w:pos="2100"/>
        </w:tabs>
        <w:ind w:left="2100" w:hanging="420"/>
      </w:pPr>
      <w:rPr>
        <w:rFonts w:hint="default"/>
      </w:rPr>
    </w:lvl>
    <w:lvl w:ilvl="6" w:tentative="0">
      <w:start w:val="1"/>
      <w:numFmt w:val="lowerRoman"/>
      <w:lvlText w:val="%7."/>
      <w:lvlJc w:val="left"/>
      <w:pPr>
        <w:tabs>
          <w:tab w:val="left" w:pos="2520"/>
        </w:tabs>
        <w:ind w:left="2520" w:hanging="420"/>
      </w:pPr>
      <w:rPr>
        <w:rFonts w:hint="default"/>
      </w:rPr>
    </w:lvl>
    <w:lvl w:ilvl="7" w:tentative="0">
      <w:start w:val="1"/>
      <w:numFmt w:val="lowerRoman"/>
      <w:lvlText w:val="%8)"/>
      <w:lvlJc w:val="left"/>
      <w:pPr>
        <w:tabs>
          <w:tab w:val="left" w:pos="2940"/>
        </w:tabs>
        <w:ind w:left="2940" w:hanging="420"/>
      </w:pPr>
      <w:rPr>
        <w:rFonts w:hint="default"/>
      </w:rPr>
    </w:lvl>
    <w:lvl w:ilvl="8" w:tentative="0">
      <w:start w:val="1"/>
      <w:numFmt w:val="lowerLetter"/>
      <w:lvlText w:val="%9."/>
      <w:lvlJc w:val="left"/>
      <w:pPr>
        <w:tabs>
          <w:tab w:val="left" w:pos="3360"/>
        </w:tabs>
        <w:ind w:left="3360" w:hanging="420"/>
      </w:pPr>
      <w:rPr>
        <w:rFonts w:hint="default"/>
      </w:rPr>
    </w:lvl>
  </w:abstractNum>
  <w:abstractNum w:abstractNumId="68">
    <w:nsid w:val="41E334F0"/>
    <w:multiLevelType w:val="singleLevel"/>
    <w:tmpl w:val="41E334F0"/>
    <w:lvl w:ilvl="0" w:tentative="0">
      <w:start w:val="1"/>
      <w:numFmt w:val="decimal"/>
      <w:lvlText w:val="%1)"/>
      <w:lvlJc w:val="left"/>
      <w:pPr>
        <w:ind w:left="425" w:hanging="425"/>
      </w:pPr>
      <w:rPr>
        <w:rFonts w:hint="default"/>
      </w:rPr>
    </w:lvl>
  </w:abstractNum>
  <w:abstractNum w:abstractNumId="69">
    <w:nsid w:val="445FD618"/>
    <w:multiLevelType w:val="multilevel"/>
    <w:tmpl w:val="445FD618"/>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0">
    <w:nsid w:val="46D030F5"/>
    <w:multiLevelType w:val="singleLevel"/>
    <w:tmpl w:val="46D030F5"/>
    <w:lvl w:ilvl="0" w:tentative="0">
      <w:start w:val="1"/>
      <w:numFmt w:val="decimal"/>
      <w:lvlText w:val="%1)"/>
      <w:lvlJc w:val="left"/>
      <w:pPr>
        <w:ind w:left="425" w:hanging="425"/>
      </w:pPr>
      <w:rPr>
        <w:rFonts w:hint="default"/>
      </w:rPr>
    </w:lvl>
  </w:abstractNum>
  <w:abstractNum w:abstractNumId="71">
    <w:nsid w:val="47D77D98"/>
    <w:multiLevelType w:val="singleLevel"/>
    <w:tmpl w:val="47D77D98"/>
    <w:lvl w:ilvl="0" w:tentative="0">
      <w:start w:val="1"/>
      <w:numFmt w:val="decimal"/>
      <w:lvlText w:val="%1)"/>
      <w:lvlJc w:val="left"/>
      <w:pPr>
        <w:ind w:left="425" w:hanging="425"/>
      </w:pPr>
      <w:rPr>
        <w:rFonts w:hint="default"/>
      </w:rPr>
    </w:lvl>
  </w:abstractNum>
  <w:abstractNum w:abstractNumId="72">
    <w:nsid w:val="47F7EEC6"/>
    <w:multiLevelType w:val="singleLevel"/>
    <w:tmpl w:val="47F7EEC6"/>
    <w:lvl w:ilvl="0" w:tentative="0">
      <w:start w:val="1"/>
      <w:numFmt w:val="decimal"/>
      <w:lvlText w:val="%1."/>
      <w:lvlJc w:val="left"/>
      <w:pPr>
        <w:ind w:left="425" w:hanging="425"/>
      </w:pPr>
      <w:rPr>
        <w:rFonts w:hint="default"/>
      </w:rPr>
    </w:lvl>
  </w:abstractNum>
  <w:abstractNum w:abstractNumId="73">
    <w:nsid w:val="48B4006A"/>
    <w:multiLevelType w:val="singleLevel"/>
    <w:tmpl w:val="48B4006A"/>
    <w:lvl w:ilvl="0" w:tentative="0">
      <w:start w:val="1"/>
      <w:numFmt w:val="decimal"/>
      <w:lvlText w:val="%1)"/>
      <w:lvlJc w:val="left"/>
      <w:pPr>
        <w:ind w:left="425" w:hanging="425"/>
      </w:pPr>
      <w:rPr>
        <w:rFonts w:hint="default"/>
      </w:rPr>
    </w:lvl>
  </w:abstractNum>
  <w:abstractNum w:abstractNumId="74">
    <w:nsid w:val="4981B945"/>
    <w:multiLevelType w:val="singleLevel"/>
    <w:tmpl w:val="4981B945"/>
    <w:lvl w:ilvl="0" w:tentative="0">
      <w:start w:val="1"/>
      <w:numFmt w:val="decimal"/>
      <w:pStyle w:val="3"/>
      <w:lvlText w:val="%1."/>
      <w:lvlJc w:val="left"/>
      <w:pPr>
        <w:ind w:left="425" w:hanging="425"/>
      </w:pPr>
      <w:rPr>
        <w:rFonts w:hint="default"/>
      </w:rPr>
    </w:lvl>
  </w:abstractNum>
  <w:abstractNum w:abstractNumId="75">
    <w:nsid w:val="4B77C80C"/>
    <w:multiLevelType w:val="singleLevel"/>
    <w:tmpl w:val="4B77C80C"/>
    <w:lvl w:ilvl="0" w:tentative="0">
      <w:start w:val="1"/>
      <w:numFmt w:val="decimal"/>
      <w:lvlText w:val="%1)"/>
      <w:lvlJc w:val="left"/>
      <w:pPr>
        <w:ind w:left="425" w:hanging="425"/>
      </w:pPr>
      <w:rPr>
        <w:rFonts w:hint="default"/>
      </w:rPr>
    </w:lvl>
  </w:abstractNum>
  <w:abstractNum w:abstractNumId="76">
    <w:nsid w:val="552BDE45"/>
    <w:multiLevelType w:val="singleLevel"/>
    <w:tmpl w:val="552BDE45"/>
    <w:lvl w:ilvl="0" w:tentative="0">
      <w:start w:val="1"/>
      <w:numFmt w:val="decimal"/>
      <w:suff w:val="nothing"/>
      <w:lvlText w:val="%1）"/>
      <w:lvlJc w:val="left"/>
    </w:lvl>
  </w:abstractNum>
  <w:abstractNum w:abstractNumId="77">
    <w:nsid w:val="5874867E"/>
    <w:multiLevelType w:val="multilevel"/>
    <w:tmpl w:val="5874867E"/>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78">
    <w:nsid w:val="593D8ED5"/>
    <w:multiLevelType w:val="singleLevel"/>
    <w:tmpl w:val="593D8ED5"/>
    <w:lvl w:ilvl="0" w:tentative="0">
      <w:start w:val="1"/>
      <w:numFmt w:val="decimal"/>
      <w:lvlText w:val="%1)"/>
      <w:lvlJc w:val="left"/>
      <w:pPr>
        <w:ind w:left="425" w:hanging="425"/>
      </w:pPr>
      <w:rPr>
        <w:rFonts w:hint="default"/>
      </w:rPr>
    </w:lvl>
  </w:abstractNum>
  <w:abstractNum w:abstractNumId="79">
    <w:nsid w:val="59F12977"/>
    <w:multiLevelType w:val="singleLevel"/>
    <w:tmpl w:val="59F12977"/>
    <w:lvl w:ilvl="0" w:tentative="0">
      <w:start w:val="1"/>
      <w:numFmt w:val="chineseCounting"/>
      <w:pStyle w:val="2"/>
      <w:suff w:val="nothing"/>
      <w:lvlText w:val="%1、"/>
      <w:lvlJc w:val="left"/>
      <w:pPr>
        <w:ind w:left="0" w:firstLine="420"/>
      </w:pPr>
      <w:rPr>
        <w:rFonts w:hint="eastAsia"/>
      </w:rPr>
    </w:lvl>
  </w:abstractNum>
  <w:abstractNum w:abstractNumId="80">
    <w:nsid w:val="5C2E08C0"/>
    <w:multiLevelType w:val="singleLevel"/>
    <w:tmpl w:val="5C2E08C0"/>
    <w:lvl w:ilvl="0" w:tentative="0">
      <w:start w:val="1"/>
      <w:numFmt w:val="decimal"/>
      <w:lvlText w:val="%1."/>
      <w:lvlJc w:val="left"/>
      <w:pPr>
        <w:ind w:left="425" w:hanging="425"/>
      </w:pPr>
      <w:rPr>
        <w:rFonts w:hint="default"/>
      </w:rPr>
    </w:lvl>
  </w:abstractNum>
  <w:abstractNum w:abstractNumId="81">
    <w:nsid w:val="5E295E7C"/>
    <w:multiLevelType w:val="multilevel"/>
    <w:tmpl w:val="5E295E7C"/>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82">
    <w:nsid w:val="5E326954"/>
    <w:multiLevelType w:val="multilevel"/>
    <w:tmpl w:val="5E3269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3">
    <w:nsid w:val="5EF55497"/>
    <w:multiLevelType w:val="multilevel"/>
    <w:tmpl w:val="5EF55497"/>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4">
    <w:nsid w:val="63A6C100"/>
    <w:multiLevelType w:val="singleLevel"/>
    <w:tmpl w:val="63A6C100"/>
    <w:lvl w:ilvl="0" w:tentative="0">
      <w:start w:val="1"/>
      <w:numFmt w:val="decimal"/>
      <w:lvlText w:val="%1)"/>
      <w:lvlJc w:val="left"/>
      <w:pPr>
        <w:ind w:left="425" w:hanging="425"/>
      </w:pPr>
      <w:rPr>
        <w:rFonts w:hint="default"/>
      </w:rPr>
    </w:lvl>
  </w:abstractNum>
  <w:abstractNum w:abstractNumId="85">
    <w:nsid w:val="6460A875"/>
    <w:multiLevelType w:val="singleLevel"/>
    <w:tmpl w:val="6460A875"/>
    <w:lvl w:ilvl="0" w:tentative="0">
      <w:start w:val="1"/>
      <w:numFmt w:val="decimal"/>
      <w:suff w:val="nothing"/>
      <w:lvlText w:val="%1）"/>
      <w:lvlJc w:val="left"/>
    </w:lvl>
  </w:abstractNum>
  <w:abstractNum w:abstractNumId="86">
    <w:nsid w:val="67F46C9B"/>
    <w:multiLevelType w:val="singleLevel"/>
    <w:tmpl w:val="67F46C9B"/>
    <w:lvl w:ilvl="0" w:tentative="0">
      <w:start w:val="1"/>
      <w:numFmt w:val="decimal"/>
      <w:suff w:val="nothing"/>
      <w:lvlText w:val="%1）"/>
      <w:lvlJc w:val="left"/>
    </w:lvl>
  </w:abstractNum>
  <w:abstractNum w:abstractNumId="87">
    <w:nsid w:val="69B4F2B0"/>
    <w:multiLevelType w:val="singleLevel"/>
    <w:tmpl w:val="69B4F2B0"/>
    <w:lvl w:ilvl="0" w:tentative="0">
      <w:start w:val="1"/>
      <w:numFmt w:val="decimal"/>
      <w:lvlText w:val="%1)"/>
      <w:lvlJc w:val="left"/>
      <w:pPr>
        <w:ind w:left="425" w:hanging="425"/>
      </w:pPr>
      <w:rPr>
        <w:rFonts w:hint="default"/>
      </w:rPr>
    </w:lvl>
  </w:abstractNum>
  <w:abstractNum w:abstractNumId="88">
    <w:nsid w:val="6ED47F54"/>
    <w:multiLevelType w:val="multilevel"/>
    <w:tmpl w:val="6ED47F5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9">
    <w:nsid w:val="6F27A643"/>
    <w:multiLevelType w:val="singleLevel"/>
    <w:tmpl w:val="6F27A643"/>
    <w:lvl w:ilvl="0" w:tentative="0">
      <w:start w:val="1"/>
      <w:numFmt w:val="decimal"/>
      <w:suff w:val="nothing"/>
      <w:lvlText w:val="%1）"/>
      <w:lvlJc w:val="left"/>
    </w:lvl>
  </w:abstractNum>
  <w:abstractNum w:abstractNumId="90">
    <w:nsid w:val="7029E9C6"/>
    <w:multiLevelType w:val="multilevel"/>
    <w:tmpl w:val="7029E9C6"/>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1">
    <w:nsid w:val="70A54F9C"/>
    <w:multiLevelType w:val="singleLevel"/>
    <w:tmpl w:val="70A54F9C"/>
    <w:lvl w:ilvl="0" w:tentative="0">
      <w:start w:val="1"/>
      <w:numFmt w:val="decimal"/>
      <w:suff w:val="space"/>
      <w:lvlText w:val="%1)"/>
      <w:lvlJc w:val="left"/>
    </w:lvl>
  </w:abstractNum>
  <w:abstractNum w:abstractNumId="92">
    <w:nsid w:val="70C9E14B"/>
    <w:multiLevelType w:val="multilevel"/>
    <w:tmpl w:val="70C9E14B"/>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3">
    <w:nsid w:val="7368825F"/>
    <w:multiLevelType w:val="singleLevel"/>
    <w:tmpl w:val="7368825F"/>
    <w:lvl w:ilvl="0" w:tentative="0">
      <w:start w:val="1"/>
      <w:numFmt w:val="decimal"/>
      <w:lvlText w:val="%1)"/>
      <w:lvlJc w:val="left"/>
      <w:pPr>
        <w:ind w:left="425" w:hanging="425"/>
      </w:pPr>
      <w:rPr>
        <w:rFonts w:hint="default"/>
      </w:rPr>
    </w:lvl>
  </w:abstractNum>
  <w:abstractNum w:abstractNumId="94">
    <w:nsid w:val="74454C72"/>
    <w:multiLevelType w:val="multilevel"/>
    <w:tmpl w:val="74454C72"/>
    <w:lvl w:ilvl="0" w:tentative="0">
      <w:start w:val="1"/>
      <w:numFmt w:val="decimal"/>
      <w:lvlText w:val="(%1)"/>
      <w:lvlJc w:val="left"/>
      <w:pPr>
        <w:ind w:left="920" w:hanging="440"/>
      </w:pPr>
      <w:rPr>
        <w:rFonts w:hint="eastAsia"/>
      </w:rPr>
    </w:lvl>
    <w:lvl w:ilvl="1" w:tentative="0">
      <w:start w:val="1"/>
      <w:numFmt w:val="decimal"/>
      <w:lvlText w:val="(%2)"/>
      <w:lvlJc w:val="left"/>
      <w:pPr>
        <w:ind w:left="44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5">
    <w:nsid w:val="749FD4DC"/>
    <w:multiLevelType w:val="singleLevel"/>
    <w:tmpl w:val="749FD4DC"/>
    <w:lvl w:ilvl="0" w:tentative="0">
      <w:start w:val="1"/>
      <w:numFmt w:val="decimal"/>
      <w:lvlText w:val="%1)"/>
      <w:lvlJc w:val="left"/>
      <w:pPr>
        <w:ind w:left="425" w:hanging="425"/>
      </w:pPr>
      <w:rPr>
        <w:rFonts w:hint="default"/>
      </w:rPr>
    </w:lvl>
  </w:abstractNum>
  <w:abstractNum w:abstractNumId="96">
    <w:nsid w:val="77DE9ACF"/>
    <w:multiLevelType w:val="multilevel"/>
    <w:tmpl w:val="77DE9ACF"/>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7">
    <w:nsid w:val="7A794C64"/>
    <w:multiLevelType w:val="multilevel"/>
    <w:tmpl w:val="7A794C64"/>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8">
    <w:nsid w:val="7B4FC87C"/>
    <w:multiLevelType w:val="multilevel"/>
    <w:tmpl w:val="7B4FC87C"/>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99">
    <w:nsid w:val="7DDA8349"/>
    <w:multiLevelType w:val="multilevel"/>
    <w:tmpl w:val="7DDA8349"/>
    <w:lvl w:ilvl="0" w:tentative="0">
      <w:start w:val="1"/>
      <w:numFmt w:val="decimal"/>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0">
    <w:nsid w:val="7ED27CA2"/>
    <w:multiLevelType w:val="singleLevel"/>
    <w:tmpl w:val="7ED27CA2"/>
    <w:lvl w:ilvl="0" w:tentative="0">
      <w:start w:val="1"/>
      <w:numFmt w:val="decimal"/>
      <w:lvlText w:val="%1)"/>
      <w:lvlJc w:val="left"/>
      <w:pPr>
        <w:tabs>
          <w:tab w:val="left" w:pos="420"/>
        </w:tabs>
        <w:ind w:left="845" w:hanging="425"/>
      </w:pPr>
      <w:rPr>
        <w:rFonts w:hint="default"/>
      </w:rPr>
    </w:lvl>
  </w:abstractNum>
  <w:num w:numId="1">
    <w:abstractNumId w:val="79"/>
  </w:num>
  <w:num w:numId="2">
    <w:abstractNumId w:val="74"/>
  </w:num>
  <w:num w:numId="3">
    <w:abstractNumId w:val="6"/>
  </w:num>
  <w:num w:numId="4">
    <w:abstractNumId w:val="53"/>
  </w:num>
  <w:num w:numId="5">
    <w:abstractNumId w:val="46"/>
  </w:num>
  <w:num w:numId="6">
    <w:abstractNumId w:val="44"/>
  </w:num>
  <w:num w:numId="7">
    <w:abstractNumId w:val="22"/>
  </w:num>
  <w:num w:numId="8">
    <w:abstractNumId w:val="77"/>
  </w:num>
  <w:num w:numId="9">
    <w:abstractNumId w:val="31"/>
  </w:num>
  <w:num w:numId="10">
    <w:abstractNumId w:val="97"/>
  </w:num>
  <w:num w:numId="11">
    <w:abstractNumId w:val="45"/>
  </w:num>
  <w:num w:numId="12">
    <w:abstractNumId w:val="98"/>
  </w:num>
  <w:num w:numId="13">
    <w:abstractNumId w:val="99"/>
  </w:num>
  <w:num w:numId="14">
    <w:abstractNumId w:val="69"/>
  </w:num>
  <w:num w:numId="15">
    <w:abstractNumId w:val="96"/>
  </w:num>
  <w:num w:numId="16">
    <w:abstractNumId w:val="82"/>
  </w:num>
  <w:num w:numId="17">
    <w:abstractNumId w:val="56"/>
  </w:num>
  <w:num w:numId="18">
    <w:abstractNumId w:val="57"/>
  </w:num>
  <w:num w:numId="19">
    <w:abstractNumId w:val="88"/>
  </w:num>
  <w:num w:numId="20">
    <w:abstractNumId w:val="48"/>
  </w:num>
  <w:num w:numId="21">
    <w:abstractNumId w:val="90"/>
  </w:num>
  <w:num w:numId="22">
    <w:abstractNumId w:val="85"/>
  </w:num>
  <w:num w:numId="23">
    <w:abstractNumId w:val="32"/>
  </w:num>
  <w:num w:numId="24">
    <w:abstractNumId w:val="89"/>
  </w:num>
  <w:num w:numId="25">
    <w:abstractNumId w:val="3"/>
  </w:num>
  <w:num w:numId="26">
    <w:abstractNumId w:val="5"/>
  </w:num>
  <w:num w:numId="27">
    <w:abstractNumId w:val="59"/>
  </w:num>
  <w:num w:numId="28">
    <w:abstractNumId w:val="39"/>
  </w:num>
  <w:num w:numId="29">
    <w:abstractNumId w:val="17"/>
  </w:num>
  <w:num w:numId="30">
    <w:abstractNumId w:val="43"/>
  </w:num>
  <w:num w:numId="31">
    <w:abstractNumId w:val="10"/>
  </w:num>
  <w:num w:numId="32">
    <w:abstractNumId w:val="24"/>
  </w:num>
  <w:num w:numId="33">
    <w:abstractNumId w:val="54"/>
  </w:num>
  <w:num w:numId="34">
    <w:abstractNumId w:val="65"/>
  </w:num>
  <w:num w:numId="35">
    <w:abstractNumId w:val="94"/>
  </w:num>
  <w:num w:numId="36">
    <w:abstractNumId w:val="83"/>
  </w:num>
  <w:num w:numId="37">
    <w:abstractNumId w:val="52"/>
  </w:num>
  <w:num w:numId="38">
    <w:abstractNumId w:val="11"/>
  </w:num>
  <w:num w:numId="39">
    <w:abstractNumId w:val="7"/>
  </w:num>
  <w:num w:numId="40">
    <w:abstractNumId w:val="91"/>
  </w:num>
  <w:num w:numId="41">
    <w:abstractNumId w:val="70"/>
  </w:num>
  <w:num w:numId="42">
    <w:abstractNumId w:val="95"/>
  </w:num>
  <w:num w:numId="43">
    <w:abstractNumId w:val="4"/>
  </w:num>
  <w:num w:numId="44">
    <w:abstractNumId w:val="26"/>
  </w:num>
  <w:num w:numId="45">
    <w:abstractNumId w:val="72"/>
  </w:num>
  <w:num w:numId="46">
    <w:abstractNumId w:val="36"/>
  </w:num>
  <w:num w:numId="47">
    <w:abstractNumId w:val="8"/>
  </w:num>
  <w:num w:numId="48">
    <w:abstractNumId w:val="92"/>
  </w:num>
  <w:num w:numId="49">
    <w:abstractNumId w:val="9"/>
  </w:num>
  <w:num w:numId="50">
    <w:abstractNumId w:val="93"/>
  </w:num>
  <w:num w:numId="51">
    <w:abstractNumId w:val="50"/>
  </w:num>
  <w:num w:numId="52">
    <w:abstractNumId w:val="28"/>
  </w:num>
  <w:num w:numId="53">
    <w:abstractNumId w:val="75"/>
  </w:num>
  <w:num w:numId="54">
    <w:abstractNumId w:val="38"/>
  </w:num>
  <w:num w:numId="55">
    <w:abstractNumId w:val="49"/>
  </w:num>
  <w:num w:numId="56">
    <w:abstractNumId w:val="55"/>
  </w:num>
  <w:num w:numId="57">
    <w:abstractNumId w:val="62"/>
  </w:num>
  <w:num w:numId="58">
    <w:abstractNumId w:val="23"/>
  </w:num>
  <w:num w:numId="59">
    <w:abstractNumId w:val="25"/>
  </w:num>
  <w:num w:numId="60">
    <w:abstractNumId w:val="21"/>
  </w:num>
  <w:num w:numId="61">
    <w:abstractNumId w:val="16"/>
  </w:num>
  <w:num w:numId="62">
    <w:abstractNumId w:val="67"/>
  </w:num>
  <w:num w:numId="63">
    <w:abstractNumId w:val="2"/>
  </w:num>
  <w:num w:numId="64">
    <w:abstractNumId w:val="13"/>
  </w:num>
  <w:num w:numId="65">
    <w:abstractNumId w:val="66"/>
  </w:num>
  <w:num w:numId="66">
    <w:abstractNumId w:val="42"/>
  </w:num>
  <w:num w:numId="67">
    <w:abstractNumId w:val="35"/>
  </w:num>
  <w:num w:numId="68">
    <w:abstractNumId w:val="81"/>
  </w:num>
  <w:num w:numId="69">
    <w:abstractNumId w:val="51"/>
  </w:num>
  <w:num w:numId="70">
    <w:abstractNumId w:val="1"/>
  </w:num>
  <w:num w:numId="71">
    <w:abstractNumId w:val="20"/>
  </w:num>
  <w:num w:numId="72">
    <w:abstractNumId w:val="86"/>
  </w:num>
  <w:num w:numId="73">
    <w:abstractNumId w:val="29"/>
  </w:num>
  <w:num w:numId="74">
    <w:abstractNumId w:val="76"/>
  </w:num>
  <w:num w:numId="75">
    <w:abstractNumId w:val="14"/>
  </w:num>
  <w:num w:numId="76">
    <w:abstractNumId w:val="47"/>
  </w:num>
  <w:num w:numId="77">
    <w:abstractNumId w:val="0"/>
  </w:num>
  <w:num w:numId="78">
    <w:abstractNumId w:val="63"/>
  </w:num>
  <w:num w:numId="79">
    <w:abstractNumId w:val="33"/>
  </w:num>
  <w:num w:numId="80">
    <w:abstractNumId w:val="87"/>
  </w:num>
  <w:num w:numId="81">
    <w:abstractNumId w:val="41"/>
  </w:num>
  <w:num w:numId="82">
    <w:abstractNumId w:val="84"/>
  </w:num>
  <w:num w:numId="83">
    <w:abstractNumId w:val="73"/>
  </w:num>
  <w:num w:numId="84">
    <w:abstractNumId w:val="71"/>
  </w:num>
  <w:num w:numId="85">
    <w:abstractNumId w:val="37"/>
  </w:num>
  <w:num w:numId="86">
    <w:abstractNumId w:val="27"/>
  </w:num>
  <w:num w:numId="87">
    <w:abstractNumId w:val="34"/>
  </w:num>
  <w:num w:numId="88">
    <w:abstractNumId w:val="78"/>
  </w:num>
  <w:num w:numId="89">
    <w:abstractNumId w:val="19"/>
  </w:num>
  <w:num w:numId="90">
    <w:abstractNumId w:val="18"/>
  </w:num>
  <w:num w:numId="91">
    <w:abstractNumId w:val="61"/>
  </w:num>
  <w:num w:numId="92">
    <w:abstractNumId w:val="30"/>
  </w:num>
  <w:num w:numId="93">
    <w:abstractNumId w:val="58"/>
  </w:num>
  <w:num w:numId="94">
    <w:abstractNumId w:val="80"/>
  </w:num>
  <w:num w:numId="95">
    <w:abstractNumId w:val="40"/>
  </w:num>
  <w:num w:numId="96">
    <w:abstractNumId w:val="60"/>
  </w:num>
  <w:num w:numId="97">
    <w:abstractNumId w:val="100"/>
  </w:num>
  <w:num w:numId="98">
    <w:abstractNumId w:val="15"/>
  </w:num>
  <w:num w:numId="99">
    <w:abstractNumId w:val="12"/>
  </w:num>
  <w:num w:numId="100">
    <w:abstractNumId w:val="64"/>
  </w:num>
  <w:num w:numId="101">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60231"/>
    <w:rsid w:val="00386820"/>
    <w:rsid w:val="006226BF"/>
    <w:rsid w:val="00B24D98"/>
    <w:rsid w:val="00EC4685"/>
    <w:rsid w:val="00F135C0"/>
    <w:rsid w:val="01211BBB"/>
    <w:rsid w:val="0169176B"/>
    <w:rsid w:val="017419D3"/>
    <w:rsid w:val="017E2EE5"/>
    <w:rsid w:val="01872D6E"/>
    <w:rsid w:val="01C92D0D"/>
    <w:rsid w:val="02357FDF"/>
    <w:rsid w:val="023811ED"/>
    <w:rsid w:val="023E38D3"/>
    <w:rsid w:val="02521BCE"/>
    <w:rsid w:val="0265642B"/>
    <w:rsid w:val="0272523F"/>
    <w:rsid w:val="02B03A41"/>
    <w:rsid w:val="02D715DB"/>
    <w:rsid w:val="02F15CE0"/>
    <w:rsid w:val="03557A9D"/>
    <w:rsid w:val="038567C5"/>
    <w:rsid w:val="041E2723"/>
    <w:rsid w:val="047F40DF"/>
    <w:rsid w:val="0481733E"/>
    <w:rsid w:val="04966844"/>
    <w:rsid w:val="051039B9"/>
    <w:rsid w:val="055C535C"/>
    <w:rsid w:val="057C458C"/>
    <w:rsid w:val="059E1639"/>
    <w:rsid w:val="05C466E4"/>
    <w:rsid w:val="05C46D12"/>
    <w:rsid w:val="060F63DC"/>
    <w:rsid w:val="06196365"/>
    <w:rsid w:val="066C7E2F"/>
    <w:rsid w:val="06976AD1"/>
    <w:rsid w:val="06AA4FFE"/>
    <w:rsid w:val="06E54AD4"/>
    <w:rsid w:val="06E9634F"/>
    <w:rsid w:val="0749509E"/>
    <w:rsid w:val="07BB2D28"/>
    <w:rsid w:val="07ED358E"/>
    <w:rsid w:val="086E125E"/>
    <w:rsid w:val="08720C6A"/>
    <w:rsid w:val="08960601"/>
    <w:rsid w:val="08F6716B"/>
    <w:rsid w:val="08FC2F49"/>
    <w:rsid w:val="091F1DCF"/>
    <w:rsid w:val="09A27036"/>
    <w:rsid w:val="0A704F10"/>
    <w:rsid w:val="0ACB46B0"/>
    <w:rsid w:val="0B021FEC"/>
    <w:rsid w:val="0B247763"/>
    <w:rsid w:val="0B4A2246"/>
    <w:rsid w:val="0B5D0A0D"/>
    <w:rsid w:val="0B870B08"/>
    <w:rsid w:val="0BBB2539"/>
    <w:rsid w:val="0BE228FC"/>
    <w:rsid w:val="0C3D6D57"/>
    <w:rsid w:val="0C482113"/>
    <w:rsid w:val="0C822C4D"/>
    <w:rsid w:val="0CD95FE4"/>
    <w:rsid w:val="0CE576FB"/>
    <w:rsid w:val="0D275F8C"/>
    <w:rsid w:val="0D2A561E"/>
    <w:rsid w:val="0D600173"/>
    <w:rsid w:val="0D65587A"/>
    <w:rsid w:val="0D71306D"/>
    <w:rsid w:val="0DB43757"/>
    <w:rsid w:val="0E132027"/>
    <w:rsid w:val="0E1C2291"/>
    <w:rsid w:val="0E2E0476"/>
    <w:rsid w:val="0E4711FC"/>
    <w:rsid w:val="0E4C04B4"/>
    <w:rsid w:val="0ED124C8"/>
    <w:rsid w:val="0EEB1821"/>
    <w:rsid w:val="0EF23CAD"/>
    <w:rsid w:val="0F0E6061"/>
    <w:rsid w:val="0F2405C2"/>
    <w:rsid w:val="0F436F91"/>
    <w:rsid w:val="0F8844A7"/>
    <w:rsid w:val="0FEF427D"/>
    <w:rsid w:val="100E3A2F"/>
    <w:rsid w:val="10233B00"/>
    <w:rsid w:val="103B3B38"/>
    <w:rsid w:val="104678C7"/>
    <w:rsid w:val="108B551E"/>
    <w:rsid w:val="10FF28CC"/>
    <w:rsid w:val="114E7A70"/>
    <w:rsid w:val="11853C3F"/>
    <w:rsid w:val="129F55A9"/>
    <w:rsid w:val="12C63CA8"/>
    <w:rsid w:val="12D21C82"/>
    <w:rsid w:val="130974D8"/>
    <w:rsid w:val="13193B54"/>
    <w:rsid w:val="13681671"/>
    <w:rsid w:val="13820753"/>
    <w:rsid w:val="13AA0B14"/>
    <w:rsid w:val="13F61BC1"/>
    <w:rsid w:val="1420120D"/>
    <w:rsid w:val="146F203C"/>
    <w:rsid w:val="149D1B17"/>
    <w:rsid w:val="14DC29CA"/>
    <w:rsid w:val="14F73573"/>
    <w:rsid w:val="150A2223"/>
    <w:rsid w:val="150B6038"/>
    <w:rsid w:val="158C3275"/>
    <w:rsid w:val="15D00CD9"/>
    <w:rsid w:val="15EC3BD5"/>
    <w:rsid w:val="163646D3"/>
    <w:rsid w:val="16391602"/>
    <w:rsid w:val="167C1AF9"/>
    <w:rsid w:val="168C6B27"/>
    <w:rsid w:val="16996EE1"/>
    <w:rsid w:val="16A85E97"/>
    <w:rsid w:val="16C23AE4"/>
    <w:rsid w:val="16CD3527"/>
    <w:rsid w:val="1710200E"/>
    <w:rsid w:val="176B21A5"/>
    <w:rsid w:val="176C49DB"/>
    <w:rsid w:val="17A3391E"/>
    <w:rsid w:val="17CF567C"/>
    <w:rsid w:val="183140D2"/>
    <w:rsid w:val="18784D36"/>
    <w:rsid w:val="188E5F96"/>
    <w:rsid w:val="18AE3031"/>
    <w:rsid w:val="18B41AA4"/>
    <w:rsid w:val="18CA46BF"/>
    <w:rsid w:val="18E8432D"/>
    <w:rsid w:val="18ED64CA"/>
    <w:rsid w:val="18F5222F"/>
    <w:rsid w:val="19180FE3"/>
    <w:rsid w:val="19AE67A2"/>
    <w:rsid w:val="19D8463A"/>
    <w:rsid w:val="1A353090"/>
    <w:rsid w:val="1A6A3D71"/>
    <w:rsid w:val="1A770DEE"/>
    <w:rsid w:val="1ACC4407"/>
    <w:rsid w:val="1ADB4DCB"/>
    <w:rsid w:val="1B2E1236"/>
    <w:rsid w:val="1B357D48"/>
    <w:rsid w:val="1B4016CE"/>
    <w:rsid w:val="1B4B64D7"/>
    <w:rsid w:val="1B64048E"/>
    <w:rsid w:val="1BD405FA"/>
    <w:rsid w:val="1C0D1406"/>
    <w:rsid w:val="1C1E01C2"/>
    <w:rsid w:val="1C330F61"/>
    <w:rsid w:val="1C351D53"/>
    <w:rsid w:val="1C4A3F6B"/>
    <w:rsid w:val="1C7600CA"/>
    <w:rsid w:val="1C8F56F9"/>
    <w:rsid w:val="1C995F48"/>
    <w:rsid w:val="1C9B12FC"/>
    <w:rsid w:val="1CE75E56"/>
    <w:rsid w:val="1D0D25E6"/>
    <w:rsid w:val="1D320AB9"/>
    <w:rsid w:val="1DD32D2E"/>
    <w:rsid w:val="1DF93283"/>
    <w:rsid w:val="1E005E63"/>
    <w:rsid w:val="1E045FBC"/>
    <w:rsid w:val="1E14140E"/>
    <w:rsid w:val="1E200FCD"/>
    <w:rsid w:val="1E226B57"/>
    <w:rsid w:val="1E812933"/>
    <w:rsid w:val="1EBF0F7E"/>
    <w:rsid w:val="1EC60021"/>
    <w:rsid w:val="1ED9492E"/>
    <w:rsid w:val="1F8E45EC"/>
    <w:rsid w:val="1F8F5312"/>
    <w:rsid w:val="1F956628"/>
    <w:rsid w:val="1F9D5C86"/>
    <w:rsid w:val="1FA000ED"/>
    <w:rsid w:val="1FB42AD9"/>
    <w:rsid w:val="1FE06EDA"/>
    <w:rsid w:val="208A1C2A"/>
    <w:rsid w:val="20997A6C"/>
    <w:rsid w:val="20B43BA5"/>
    <w:rsid w:val="21CF6DE3"/>
    <w:rsid w:val="220B6729"/>
    <w:rsid w:val="22330628"/>
    <w:rsid w:val="2237608C"/>
    <w:rsid w:val="2263046C"/>
    <w:rsid w:val="2271022D"/>
    <w:rsid w:val="22C6588F"/>
    <w:rsid w:val="23051397"/>
    <w:rsid w:val="232C717F"/>
    <w:rsid w:val="234156D3"/>
    <w:rsid w:val="23445DC5"/>
    <w:rsid w:val="234A5DEB"/>
    <w:rsid w:val="235E4AB8"/>
    <w:rsid w:val="23723508"/>
    <w:rsid w:val="23822ED5"/>
    <w:rsid w:val="23900193"/>
    <w:rsid w:val="23A874C7"/>
    <w:rsid w:val="24311B0C"/>
    <w:rsid w:val="243C794D"/>
    <w:rsid w:val="24C17256"/>
    <w:rsid w:val="24FA2F2C"/>
    <w:rsid w:val="24FD0ABB"/>
    <w:rsid w:val="25093BC8"/>
    <w:rsid w:val="250D72CC"/>
    <w:rsid w:val="251322A5"/>
    <w:rsid w:val="25333141"/>
    <w:rsid w:val="256D7D92"/>
    <w:rsid w:val="258148B7"/>
    <w:rsid w:val="25EA5235"/>
    <w:rsid w:val="260E0D1D"/>
    <w:rsid w:val="261E5917"/>
    <w:rsid w:val="26524E1E"/>
    <w:rsid w:val="267626F0"/>
    <w:rsid w:val="26B2439F"/>
    <w:rsid w:val="26EA1545"/>
    <w:rsid w:val="270C053C"/>
    <w:rsid w:val="270E637D"/>
    <w:rsid w:val="27186685"/>
    <w:rsid w:val="27381925"/>
    <w:rsid w:val="274634C5"/>
    <w:rsid w:val="278F2208"/>
    <w:rsid w:val="27F07971"/>
    <w:rsid w:val="28010A97"/>
    <w:rsid w:val="282D5545"/>
    <w:rsid w:val="282E1BF8"/>
    <w:rsid w:val="28602840"/>
    <w:rsid w:val="286E597D"/>
    <w:rsid w:val="288574BA"/>
    <w:rsid w:val="28B43155"/>
    <w:rsid w:val="29147B93"/>
    <w:rsid w:val="292C4E48"/>
    <w:rsid w:val="29DB7E97"/>
    <w:rsid w:val="29F07E60"/>
    <w:rsid w:val="29F61FB9"/>
    <w:rsid w:val="2A58411F"/>
    <w:rsid w:val="2A807905"/>
    <w:rsid w:val="2AD30DA9"/>
    <w:rsid w:val="2B5A74EF"/>
    <w:rsid w:val="2B7F178E"/>
    <w:rsid w:val="2BA52F87"/>
    <w:rsid w:val="2BCB7CF7"/>
    <w:rsid w:val="2C1F0425"/>
    <w:rsid w:val="2C6B23BF"/>
    <w:rsid w:val="2CF5230A"/>
    <w:rsid w:val="2D116771"/>
    <w:rsid w:val="2D1B649C"/>
    <w:rsid w:val="2D1D75EE"/>
    <w:rsid w:val="2DAD2CD6"/>
    <w:rsid w:val="2DBD5123"/>
    <w:rsid w:val="2DCB306B"/>
    <w:rsid w:val="2DFB4A15"/>
    <w:rsid w:val="2DFC7DDC"/>
    <w:rsid w:val="2E2831C7"/>
    <w:rsid w:val="2E3C4CF5"/>
    <w:rsid w:val="2E486C5F"/>
    <w:rsid w:val="2E54091D"/>
    <w:rsid w:val="2E6F71BF"/>
    <w:rsid w:val="2EEE664E"/>
    <w:rsid w:val="2F1A2C54"/>
    <w:rsid w:val="305B3490"/>
    <w:rsid w:val="30760036"/>
    <w:rsid w:val="30A957AC"/>
    <w:rsid w:val="30C03EC4"/>
    <w:rsid w:val="30CF5B54"/>
    <w:rsid w:val="30EB757F"/>
    <w:rsid w:val="315836CA"/>
    <w:rsid w:val="3197359C"/>
    <w:rsid w:val="31B60042"/>
    <w:rsid w:val="31BE3DC6"/>
    <w:rsid w:val="322114F0"/>
    <w:rsid w:val="327375F3"/>
    <w:rsid w:val="32D9153E"/>
    <w:rsid w:val="333D7116"/>
    <w:rsid w:val="336D0ADD"/>
    <w:rsid w:val="336F5502"/>
    <w:rsid w:val="33860DD9"/>
    <w:rsid w:val="33FA4072"/>
    <w:rsid w:val="34111112"/>
    <w:rsid w:val="34133C6B"/>
    <w:rsid w:val="3444243F"/>
    <w:rsid w:val="345912F3"/>
    <w:rsid w:val="348D58B0"/>
    <w:rsid w:val="34A950E8"/>
    <w:rsid w:val="34D054D7"/>
    <w:rsid w:val="34D06DCF"/>
    <w:rsid w:val="356B1338"/>
    <w:rsid w:val="357717D8"/>
    <w:rsid w:val="358F7B39"/>
    <w:rsid w:val="35A464EF"/>
    <w:rsid w:val="365C4B46"/>
    <w:rsid w:val="3666133C"/>
    <w:rsid w:val="367944F6"/>
    <w:rsid w:val="36820334"/>
    <w:rsid w:val="36851615"/>
    <w:rsid w:val="368C3E30"/>
    <w:rsid w:val="36F7308B"/>
    <w:rsid w:val="37313F6E"/>
    <w:rsid w:val="373B6782"/>
    <w:rsid w:val="3748492E"/>
    <w:rsid w:val="375B6CD9"/>
    <w:rsid w:val="379C1861"/>
    <w:rsid w:val="38413C3F"/>
    <w:rsid w:val="385B4287"/>
    <w:rsid w:val="38600100"/>
    <w:rsid w:val="38871D0F"/>
    <w:rsid w:val="38915DB3"/>
    <w:rsid w:val="3940642B"/>
    <w:rsid w:val="39814FDB"/>
    <w:rsid w:val="39D67D28"/>
    <w:rsid w:val="39E829BD"/>
    <w:rsid w:val="3A021601"/>
    <w:rsid w:val="3A0E6114"/>
    <w:rsid w:val="3A4E063C"/>
    <w:rsid w:val="3A9B443E"/>
    <w:rsid w:val="3AED48C1"/>
    <w:rsid w:val="3B4A7369"/>
    <w:rsid w:val="3B916DDF"/>
    <w:rsid w:val="3B944D85"/>
    <w:rsid w:val="3B997835"/>
    <w:rsid w:val="3BA5660C"/>
    <w:rsid w:val="3BED1A86"/>
    <w:rsid w:val="3C1771A5"/>
    <w:rsid w:val="3C3C7771"/>
    <w:rsid w:val="3CC46DEC"/>
    <w:rsid w:val="3CEF13F0"/>
    <w:rsid w:val="3D7D0A6E"/>
    <w:rsid w:val="3D9C5579"/>
    <w:rsid w:val="3DCE6421"/>
    <w:rsid w:val="3DEA6DC8"/>
    <w:rsid w:val="3DFE4690"/>
    <w:rsid w:val="3E3E7E4C"/>
    <w:rsid w:val="3E50441B"/>
    <w:rsid w:val="3E5944B8"/>
    <w:rsid w:val="3E79018F"/>
    <w:rsid w:val="3EDC6238"/>
    <w:rsid w:val="3EDD3623"/>
    <w:rsid w:val="3EEE4116"/>
    <w:rsid w:val="3F11005A"/>
    <w:rsid w:val="3F1526FC"/>
    <w:rsid w:val="3F4A43D7"/>
    <w:rsid w:val="3F743B36"/>
    <w:rsid w:val="3F7A080B"/>
    <w:rsid w:val="3F886C60"/>
    <w:rsid w:val="3F921BA4"/>
    <w:rsid w:val="3F9B1A32"/>
    <w:rsid w:val="3FBD48D8"/>
    <w:rsid w:val="3FD12FD3"/>
    <w:rsid w:val="40CA6E08"/>
    <w:rsid w:val="40D939AA"/>
    <w:rsid w:val="40E070FE"/>
    <w:rsid w:val="411017FD"/>
    <w:rsid w:val="412E7C0A"/>
    <w:rsid w:val="415C3614"/>
    <w:rsid w:val="416E33EF"/>
    <w:rsid w:val="416F661B"/>
    <w:rsid w:val="41F80861"/>
    <w:rsid w:val="421D2BA0"/>
    <w:rsid w:val="421F5E22"/>
    <w:rsid w:val="42541B3E"/>
    <w:rsid w:val="426D0CA7"/>
    <w:rsid w:val="427B48A4"/>
    <w:rsid w:val="4288700B"/>
    <w:rsid w:val="43A5409E"/>
    <w:rsid w:val="44173B45"/>
    <w:rsid w:val="4445480B"/>
    <w:rsid w:val="444E5331"/>
    <w:rsid w:val="446A20B9"/>
    <w:rsid w:val="448C7CEC"/>
    <w:rsid w:val="44B22D20"/>
    <w:rsid w:val="44C22A74"/>
    <w:rsid w:val="44E11312"/>
    <w:rsid w:val="45762E45"/>
    <w:rsid w:val="45874DD1"/>
    <w:rsid w:val="459B2B9D"/>
    <w:rsid w:val="45AD77D9"/>
    <w:rsid w:val="45C36EF4"/>
    <w:rsid w:val="46307BC2"/>
    <w:rsid w:val="46BA7DF6"/>
    <w:rsid w:val="46BF7389"/>
    <w:rsid w:val="46D73046"/>
    <w:rsid w:val="46FA2AA1"/>
    <w:rsid w:val="47006BAF"/>
    <w:rsid w:val="47153E42"/>
    <w:rsid w:val="473C622D"/>
    <w:rsid w:val="479D0EA5"/>
    <w:rsid w:val="47B26229"/>
    <w:rsid w:val="47D54816"/>
    <w:rsid w:val="483E2513"/>
    <w:rsid w:val="485D7F4F"/>
    <w:rsid w:val="4861721B"/>
    <w:rsid w:val="487309B8"/>
    <w:rsid w:val="489009F7"/>
    <w:rsid w:val="48BC2586"/>
    <w:rsid w:val="48C00141"/>
    <w:rsid w:val="48DD674A"/>
    <w:rsid w:val="49041E80"/>
    <w:rsid w:val="490C6729"/>
    <w:rsid w:val="49263902"/>
    <w:rsid w:val="493B130B"/>
    <w:rsid w:val="497D2487"/>
    <w:rsid w:val="49D52C7C"/>
    <w:rsid w:val="49FF136C"/>
    <w:rsid w:val="4A0871FC"/>
    <w:rsid w:val="4A2F4A43"/>
    <w:rsid w:val="4AB0664C"/>
    <w:rsid w:val="4ABB259D"/>
    <w:rsid w:val="4ACC7791"/>
    <w:rsid w:val="4ACE5B18"/>
    <w:rsid w:val="4AE5022F"/>
    <w:rsid w:val="4AEC779A"/>
    <w:rsid w:val="4B3B7E02"/>
    <w:rsid w:val="4B6465BD"/>
    <w:rsid w:val="4B7F3F6F"/>
    <w:rsid w:val="4B82663D"/>
    <w:rsid w:val="4BAE3C20"/>
    <w:rsid w:val="4BDC3C83"/>
    <w:rsid w:val="4BF25667"/>
    <w:rsid w:val="4C077D29"/>
    <w:rsid w:val="4C6A5A3D"/>
    <w:rsid w:val="4C741BB0"/>
    <w:rsid w:val="4CEC0E55"/>
    <w:rsid w:val="4D397833"/>
    <w:rsid w:val="4D4C0CE2"/>
    <w:rsid w:val="4DAC0C54"/>
    <w:rsid w:val="4E39097A"/>
    <w:rsid w:val="4E5A52AA"/>
    <w:rsid w:val="4E884558"/>
    <w:rsid w:val="4EB61FEE"/>
    <w:rsid w:val="4EC60AAD"/>
    <w:rsid w:val="4F101661"/>
    <w:rsid w:val="4F7A5253"/>
    <w:rsid w:val="4FB63B5C"/>
    <w:rsid w:val="4FB81B70"/>
    <w:rsid w:val="4FC605DF"/>
    <w:rsid w:val="4FFD6016"/>
    <w:rsid w:val="50270256"/>
    <w:rsid w:val="503627B3"/>
    <w:rsid w:val="504E7FD0"/>
    <w:rsid w:val="505B0018"/>
    <w:rsid w:val="506121EE"/>
    <w:rsid w:val="5074757C"/>
    <w:rsid w:val="50886652"/>
    <w:rsid w:val="50AA560A"/>
    <w:rsid w:val="50AE0304"/>
    <w:rsid w:val="50BB1558"/>
    <w:rsid w:val="50C40776"/>
    <w:rsid w:val="510F23DB"/>
    <w:rsid w:val="5126776D"/>
    <w:rsid w:val="514B0F7F"/>
    <w:rsid w:val="51A45CFD"/>
    <w:rsid w:val="51B74BED"/>
    <w:rsid w:val="5239670A"/>
    <w:rsid w:val="524342E5"/>
    <w:rsid w:val="52693E64"/>
    <w:rsid w:val="529E6F99"/>
    <w:rsid w:val="52A84991"/>
    <w:rsid w:val="53293124"/>
    <w:rsid w:val="53507E1F"/>
    <w:rsid w:val="5372329D"/>
    <w:rsid w:val="53BA33E8"/>
    <w:rsid w:val="541D293C"/>
    <w:rsid w:val="541F28FC"/>
    <w:rsid w:val="545C4EF5"/>
    <w:rsid w:val="54720E13"/>
    <w:rsid w:val="547A32A8"/>
    <w:rsid w:val="54866BDD"/>
    <w:rsid w:val="553B01EC"/>
    <w:rsid w:val="553B1ADF"/>
    <w:rsid w:val="5567077F"/>
    <w:rsid w:val="55841D30"/>
    <w:rsid w:val="558F5DAC"/>
    <w:rsid w:val="55926CC2"/>
    <w:rsid w:val="559E1038"/>
    <w:rsid w:val="55A004D7"/>
    <w:rsid w:val="55D23189"/>
    <w:rsid w:val="561749F8"/>
    <w:rsid w:val="56333606"/>
    <w:rsid w:val="564B62D5"/>
    <w:rsid w:val="56543D0B"/>
    <w:rsid w:val="565F5B86"/>
    <w:rsid w:val="5670465C"/>
    <w:rsid w:val="56740126"/>
    <w:rsid w:val="56825BFB"/>
    <w:rsid w:val="569B094E"/>
    <w:rsid w:val="56B4067E"/>
    <w:rsid w:val="56B71762"/>
    <w:rsid w:val="56C92BFC"/>
    <w:rsid w:val="56CC623A"/>
    <w:rsid w:val="56CD7431"/>
    <w:rsid w:val="571F7D56"/>
    <w:rsid w:val="579205D6"/>
    <w:rsid w:val="57AC7578"/>
    <w:rsid w:val="57B86A38"/>
    <w:rsid w:val="57BD6275"/>
    <w:rsid w:val="57F55A7F"/>
    <w:rsid w:val="58000632"/>
    <w:rsid w:val="58751AE0"/>
    <w:rsid w:val="58DE6B7B"/>
    <w:rsid w:val="594E4F66"/>
    <w:rsid w:val="59577657"/>
    <w:rsid w:val="597461CB"/>
    <w:rsid w:val="59900DDF"/>
    <w:rsid w:val="59A60EF0"/>
    <w:rsid w:val="5A2B5F2F"/>
    <w:rsid w:val="5A717137"/>
    <w:rsid w:val="5AEC3D20"/>
    <w:rsid w:val="5B070BE3"/>
    <w:rsid w:val="5B2C257B"/>
    <w:rsid w:val="5B36263E"/>
    <w:rsid w:val="5B443D45"/>
    <w:rsid w:val="5B57687F"/>
    <w:rsid w:val="5B7C2F7E"/>
    <w:rsid w:val="5B90396E"/>
    <w:rsid w:val="5B9A1C37"/>
    <w:rsid w:val="5B9E1293"/>
    <w:rsid w:val="5BA12636"/>
    <w:rsid w:val="5BD8575B"/>
    <w:rsid w:val="5C086021"/>
    <w:rsid w:val="5C3E76E6"/>
    <w:rsid w:val="5C5B1B3A"/>
    <w:rsid w:val="5C7157C7"/>
    <w:rsid w:val="5C8133C6"/>
    <w:rsid w:val="5CA67C69"/>
    <w:rsid w:val="5CC262D6"/>
    <w:rsid w:val="5CC434FD"/>
    <w:rsid w:val="5CCF5950"/>
    <w:rsid w:val="5CD146D7"/>
    <w:rsid w:val="5D0F6346"/>
    <w:rsid w:val="5D406CB9"/>
    <w:rsid w:val="5D550A10"/>
    <w:rsid w:val="5D8D6939"/>
    <w:rsid w:val="5DA0153D"/>
    <w:rsid w:val="5DA03AAA"/>
    <w:rsid w:val="5DC4545C"/>
    <w:rsid w:val="5DE64F96"/>
    <w:rsid w:val="5E1D0B2D"/>
    <w:rsid w:val="5E8773CA"/>
    <w:rsid w:val="5EEC036A"/>
    <w:rsid w:val="5F1541E7"/>
    <w:rsid w:val="5F297EB0"/>
    <w:rsid w:val="5F2E2C57"/>
    <w:rsid w:val="5F5C4F34"/>
    <w:rsid w:val="5F6953A0"/>
    <w:rsid w:val="5FC0420E"/>
    <w:rsid w:val="5FCF0C9E"/>
    <w:rsid w:val="5FD20221"/>
    <w:rsid w:val="5FE004DB"/>
    <w:rsid w:val="5FE971F3"/>
    <w:rsid w:val="6024390D"/>
    <w:rsid w:val="6046499D"/>
    <w:rsid w:val="607A7DC2"/>
    <w:rsid w:val="61086B5D"/>
    <w:rsid w:val="6116071B"/>
    <w:rsid w:val="611E1F9D"/>
    <w:rsid w:val="61356090"/>
    <w:rsid w:val="61356E89"/>
    <w:rsid w:val="613E05B6"/>
    <w:rsid w:val="615A3732"/>
    <w:rsid w:val="617241E8"/>
    <w:rsid w:val="617A2678"/>
    <w:rsid w:val="619D06F5"/>
    <w:rsid w:val="619E0B41"/>
    <w:rsid w:val="61A85E90"/>
    <w:rsid w:val="61DA7617"/>
    <w:rsid w:val="61E359CE"/>
    <w:rsid w:val="620C7DF4"/>
    <w:rsid w:val="624A4019"/>
    <w:rsid w:val="627455E4"/>
    <w:rsid w:val="62811A4F"/>
    <w:rsid w:val="62C635AD"/>
    <w:rsid w:val="63222108"/>
    <w:rsid w:val="632F46C6"/>
    <w:rsid w:val="633A5778"/>
    <w:rsid w:val="63481212"/>
    <w:rsid w:val="637E483F"/>
    <w:rsid w:val="63AA3DD0"/>
    <w:rsid w:val="63E86D73"/>
    <w:rsid w:val="63F65616"/>
    <w:rsid w:val="63F67E78"/>
    <w:rsid w:val="63F82F71"/>
    <w:rsid w:val="645C282C"/>
    <w:rsid w:val="64D952DA"/>
    <w:rsid w:val="651548E6"/>
    <w:rsid w:val="6572388D"/>
    <w:rsid w:val="657607E6"/>
    <w:rsid w:val="66101764"/>
    <w:rsid w:val="66DE0C4A"/>
    <w:rsid w:val="66E0207E"/>
    <w:rsid w:val="6759547D"/>
    <w:rsid w:val="676174FF"/>
    <w:rsid w:val="6764082F"/>
    <w:rsid w:val="67AA3ECA"/>
    <w:rsid w:val="67D53BB8"/>
    <w:rsid w:val="67F86D98"/>
    <w:rsid w:val="680C54FD"/>
    <w:rsid w:val="684B2A97"/>
    <w:rsid w:val="686E00BA"/>
    <w:rsid w:val="68D27805"/>
    <w:rsid w:val="692F1089"/>
    <w:rsid w:val="69310742"/>
    <w:rsid w:val="69BB1F09"/>
    <w:rsid w:val="69CD33E4"/>
    <w:rsid w:val="6A097948"/>
    <w:rsid w:val="6A411444"/>
    <w:rsid w:val="6A5C79EC"/>
    <w:rsid w:val="6A8469C3"/>
    <w:rsid w:val="6B013226"/>
    <w:rsid w:val="6B2312D3"/>
    <w:rsid w:val="6B3521A6"/>
    <w:rsid w:val="6B377E7A"/>
    <w:rsid w:val="6BA6790F"/>
    <w:rsid w:val="6BAB4F6C"/>
    <w:rsid w:val="6BBE6DFF"/>
    <w:rsid w:val="6C380646"/>
    <w:rsid w:val="6C6D7796"/>
    <w:rsid w:val="6C6D7B70"/>
    <w:rsid w:val="6C75110F"/>
    <w:rsid w:val="6C9F6733"/>
    <w:rsid w:val="6CAD27E3"/>
    <w:rsid w:val="6D893E6F"/>
    <w:rsid w:val="6DC32056"/>
    <w:rsid w:val="6DEE5053"/>
    <w:rsid w:val="6E4465DC"/>
    <w:rsid w:val="6E5C4EF3"/>
    <w:rsid w:val="6E6417EF"/>
    <w:rsid w:val="6E937D06"/>
    <w:rsid w:val="6E9A0985"/>
    <w:rsid w:val="6EC96F3C"/>
    <w:rsid w:val="6F074AAC"/>
    <w:rsid w:val="6F086124"/>
    <w:rsid w:val="6F3B4238"/>
    <w:rsid w:val="6F565845"/>
    <w:rsid w:val="6F706473"/>
    <w:rsid w:val="6F814A6C"/>
    <w:rsid w:val="6FA33526"/>
    <w:rsid w:val="6FAB0664"/>
    <w:rsid w:val="6FD547CE"/>
    <w:rsid w:val="6FF00134"/>
    <w:rsid w:val="702C77F1"/>
    <w:rsid w:val="704C4D1F"/>
    <w:rsid w:val="709064E9"/>
    <w:rsid w:val="70B776FF"/>
    <w:rsid w:val="711768DA"/>
    <w:rsid w:val="714D14C2"/>
    <w:rsid w:val="718C2C97"/>
    <w:rsid w:val="71B71F93"/>
    <w:rsid w:val="71FC01E6"/>
    <w:rsid w:val="7210471E"/>
    <w:rsid w:val="723B49AD"/>
    <w:rsid w:val="72605750"/>
    <w:rsid w:val="728872B9"/>
    <w:rsid w:val="72CC4BE9"/>
    <w:rsid w:val="72D149B2"/>
    <w:rsid w:val="72D51E76"/>
    <w:rsid w:val="72F46FDB"/>
    <w:rsid w:val="72F56ECE"/>
    <w:rsid w:val="73076350"/>
    <w:rsid w:val="73BF5224"/>
    <w:rsid w:val="73EA1ABC"/>
    <w:rsid w:val="741F661C"/>
    <w:rsid w:val="744821B2"/>
    <w:rsid w:val="744E5DCE"/>
    <w:rsid w:val="744F3BB0"/>
    <w:rsid w:val="74651408"/>
    <w:rsid w:val="747A7763"/>
    <w:rsid w:val="74B9560C"/>
    <w:rsid w:val="751F6635"/>
    <w:rsid w:val="75382EF0"/>
    <w:rsid w:val="754A3831"/>
    <w:rsid w:val="75676B68"/>
    <w:rsid w:val="75CE59BF"/>
    <w:rsid w:val="75DD55E8"/>
    <w:rsid w:val="760E3DEE"/>
    <w:rsid w:val="763A6B23"/>
    <w:rsid w:val="76423A7D"/>
    <w:rsid w:val="765E6D9C"/>
    <w:rsid w:val="769B313E"/>
    <w:rsid w:val="769B79D6"/>
    <w:rsid w:val="76D862C3"/>
    <w:rsid w:val="76E53B96"/>
    <w:rsid w:val="76ED7627"/>
    <w:rsid w:val="76EF447F"/>
    <w:rsid w:val="7759078E"/>
    <w:rsid w:val="77696A5C"/>
    <w:rsid w:val="777A769C"/>
    <w:rsid w:val="7786326D"/>
    <w:rsid w:val="77A66704"/>
    <w:rsid w:val="77A80534"/>
    <w:rsid w:val="77E135F2"/>
    <w:rsid w:val="77F64CA4"/>
    <w:rsid w:val="78403508"/>
    <w:rsid w:val="785D5489"/>
    <w:rsid w:val="78FD0DD5"/>
    <w:rsid w:val="78FE7FC1"/>
    <w:rsid w:val="7904200F"/>
    <w:rsid w:val="79340562"/>
    <w:rsid w:val="794A5EE2"/>
    <w:rsid w:val="797C64F5"/>
    <w:rsid w:val="79D66F6B"/>
    <w:rsid w:val="79E8078D"/>
    <w:rsid w:val="79EB7D4B"/>
    <w:rsid w:val="79F33BD5"/>
    <w:rsid w:val="7A3C30F7"/>
    <w:rsid w:val="7A8E71B7"/>
    <w:rsid w:val="7AB91016"/>
    <w:rsid w:val="7AC83D71"/>
    <w:rsid w:val="7ACD44B0"/>
    <w:rsid w:val="7AE51675"/>
    <w:rsid w:val="7AF358F5"/>
    <w:rsid w:val="7B6F7C2B"/>
    <w:rsid w:val="7BDB4C57"/>
    <w:rsid w:val="7BE8714A"/>
    <w:rsid w:val="7BEF487E"/>
    <w:rsid w:val="7C086208"/>
    <w:rsid w:val="7C4924F5"/>
    <w:rsid w:val="7C6C2192"/>
    <w:rsid w:val="7C934FB3"/>
    <w:rsid w:val="7D4F5994"/>
    <w:rsid w:val="7D7D1F85"/>
    <w:rsid w:val="7DCC6BFC"/>
    <w:rsid w:val="7DF605D0"/>
    <w:rsid w:val="7E1A0811"/>
    <w:rsid w:val="7E3641B0"/>
    <w:rsid w:val="7E4714D9"/>
    <w:rsid w:val="7E4F2865"/>
    <w:rsid w:val="7E9F4A9A"/>
    <w:rsid w:val="7EB83535"/>
    <w:rsid w:val="7ECC2456"/>
    <w:rsid w:val="7EE264D5"/>
    <w:rsid w:val="7EF91DDE"/>
    <w:rsid w:val="7F3D7978"/>
    <w:rsid w:val="7F464301"/>
    <w:rsid w:val="7F715427"/>
    <w:rsid w:val="7FBE7CF4"/>
    <w:rsid w:val="7FC4458F"/>
    <w:rsid w:val="7FE54990"/>
    <w:rsid w:val="7FE925E3"/>
    <w:rsid w:val="BE626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12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20"/>
    <w:qFormat/>
    <w:uiPriority w:val="9"/>
    <w:pPr>
      <w:keepNext/>
      <w:keepLines/>
      <w:numPr>
        <w:ilvl w:val="0"/>
        <w:numId w:val="1"/>
      </w:numPr>
      <w:spacing w:line="240" w:lineRule="auto"/>
      <w:jc w:val="center"/>
      <w:outlineLvl w:val="0"/>
    </w:pPr>
    <w:rPr>
      <w:b/>
      <w:bCs/>
      <w:kern w:val="44"/>
      <w:sz w:val="30"/>
      <w:szCs w:val="44"/>
    </w:rPr>
  </w:style>
  <w:style w:type="paragraph" w:styleId="3">
    <w:name w:val="heading 2"/>
    <w:basedOn w:val="1"/>
    <w:next w:val="1"/>
    <w:link w:val="21"/>
    <w:unhideWhenUsed/>
    <w:qFormat/>
    <w:uiPriority w:val="0"/>
    <w:pPr>
      <w:keepNext/>
      <w:keepLines/>
      <w:numPr>
        <w:ilvl w:val="0"/>
        <w:numId w:val="2"/>
      </w:numPr>
      <w:spacing w:before="20" w:beforeLines="0" w:beforeAutospacing="0" w:after="20" w:afterLines="0" w:afterAutospacing="0" w:line="360" w:lineRule="auto"/>
      <w:ind w:firstLine="0" w:firstLineChars="0"/>
      <w:outlineLvl w:val="1"/>
    </w:pPr>
    <w:rPr>
      <w:rFonts w:ascii="Arial" w:hAnsi="Arial" w:eastAsia="宋体"/>
      <w:b/>
    </w:rPr>
  </w:style>
  <w:style w:type="paragraph" w:styleId="4">
    <w:name w:val="heading 3"/>
    <w:basedOn w:val="1"/>
    <w:next w:val="1"/>
    <w:semiHidden/>
    <w:unhideWhenUsed/>
    <w:qFormat/>
    <w:uiPriority w:val="0"/>
    <w:pPr>
      <w:keepNext/>
      <w:keepLines/>
      <w:numPr>
        <w:ilvl w:val="0"/>
        <w:numId w:val="3"/>
      </w:numPr>
      <w:spacing w:before="260" w:beforeLines="0" w:beforeAutospacing="0" w:after="260" w:afterLines="0" w:afterAutospacing="0" w:line="413" w:lineRule="auto"/>
      <w:outlineLvl w:val="2"/>
    </w:p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Normal (Web)"/>
    <w:basedOn w:val="1"/>
    <w:semiHidden/>
    <w:unhideWhenUsed/>
    <w:qFormat/>
    <w:uiPriority w:val="0"/>
    <w:rPr>
      <w:sz w:val="24"/>
    </w:rPr>
  </w:style>
  <w:style w:type="paragraph" w:styleId="11">
    <w:name w:val="Title"/>
    <w:basedOn w:val="1"/>
    <w:qFormat/>
    <w:uiPriority w:val="10"/>
    <w:pPr>
      <w:spacing w:before="240" w:after="60"/>
      <w:jc w:val="center"/>
      <w:outlineLvl w:val="0"/>
    </w:pPr>
    <w:rPr>
      <w:rFonts w:ascii="Cambria" w:hAnsi="Cambria" w:cs="Times New Roman"/>
      <w:b/>
      <w:bCs/>
      <w:sz w:val="32"/>
      <w:szCs w:val="32"/>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563C1" w:themeColor="hyperlink"/>
      <w:u w:val="single"/>
      <w14:textFill>
        <w14:solidFill>
          <w14:schemeClr w14:val="hlink"/>
        </w14:solidFill>
      </w14:textFill>
    </w:rPr>
  </w:style>
  <w:style w:type="paragraph" w:styleId="16">
    <w:name w:val="List Paragraph"/>
    <w:basedOn w:val="1"/>
    <w:qFormat/>
    <w:uiPriority w:val="34"/>
    <w:pPr>
      <w:ind w:firstLine="420" w:firstLineChars="200"/>
    </w:pPr>
  </w:style>
  <w:style w:type="paragraph" w:customStyle="1" w:styleId="17">
    <w:name w:val="宋体小四"/>
    <w:qFormat/>
    <w:uiPriority w:val="0"/>
    <w:pPr>
      <w:spacing w:line="324"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8">
    <w:name w:val="样式 我的正文 + 首行缩进:  2 字符"/>
    <w:basedOn w:val="1"/>
    <w:qFormat/>
    <w:uiPriority w:val="0"/>
    <w:pPr>
      <w:spacing w:line="400" w:lineRule="exact"/>
      <w:ind w:firstLine="420" w:firstLineChars="200"/>
      <w:textAlignment w:val="baseline"/>
    </w:pPr>
    <w:rPr>
      <w:rFonts w:ascii="Times New Roman" w:hAnsi="Times New Roman" w:eastAsia="宋体" w:cs="宋体"/>
      <w:szCs w:val="20"/>
    </w:rPr>
  </w:style>
  <w:style w:type="paragraph" w:customStyle="1" w:styleId="19">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20">
    <w:name w:val="标题 1 Char"/>
    <w:link w:val="2"/>
    <w:qFormat/>
    <w:uiPriority w:val="9"/>
    <w:rPr>
      <w:rFonts w:ascii="Times New Roman" w:hAnsi="Times New Roman" w:eastAsia="宋体"/>
      <w:b/>
      <w:bCs/>
      <w:kern w:val="44"/>
      <w:sz w:val="30"/>
      <w:szCs w:val="44"/>
    </w:rPr>
  </w:style>
  <w:style w:type="character" w:customStyle="1" w:styleId="21">
    <w:name w:val="标题 2 Char"/>
    <w:link w:val="3"/>
    <w:qFormat/>
    <w:uiPriority w:val="0"/>
    <w:rPr>
      <w:rFonts w:ascii="Arial" w:hAnsi="Arial" w:eastAsia="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340784</dc:creator>
  <cp:lastModifiedBy>Fighting~zZ</cp:lastModifiedBy>
  <dcterms:modified xsi:type="dcterms:W3CDTF">2026-01-04T10:04:01Z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E8F135D5A89843F1BA249BEAA2407164_12</vt:lpwstr>
  </property>
</Properties>
</file>